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1AC78" w14:textId="77777777" w:rsidR="006746E7" w:rsidRDefault="00B23247">
      <w:pPr>
        <w:pStyle w:val="Ttulo2"/>
        <w:jc w:val="center"/>
        <w:rPr>
          <w:rFonts w:ascii="Arial" w:eastAsia="Arial" w:hAnsi="Arial" w:cs="Arial"/>
          <w:b/>
          <w:bCs/>
          <w:color w:val="000000"/>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5142643D" w14:textId="77777777" w:rsidR="006746E7" w:rsidRDefault="006746E7">
      <w:pPr>
        <w:jc w:val="center"/>
        <w:rPr>
          <w:rFonts w:ascii="Arial" w:eastAsia="Arial" w:hAnsi="Arial" w:cs="Arial"/>
          <w:sz w:val="22"/>
          <w:szCs w:val="22"/>
          <w:highlight w:val="white"/>
        </w:rPr>
      </w:pPr>
      <w:bookmarkStart w:id="1" w:name="_heading=h.tziib8mju948" w:colFirst="0" w:colLast="0"/>
      <w:bookmarkEnd w:id="1"/>
    </w:p>
    <w:p w14:paraId="7B0C6088" w14:textId="77777777" w:rsidR="006746E7" w:rsidRDefault="00B23247">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24E04296" w14:textId="77777777" w:rsidR="006746E7" w:rsidRDefault="006746E7">
      <w:pPr>
        <w:jc w:val="center"/>
        <w:rPr>
          <w:rFonts w:ascii="Arial" w:eastAsia="Arial" w:hAnsi="Arial" w:cs="Arial"/>
          <w:sz w:val="22"/>
          <w:szCs w:val="22"/>
          <w:highlight w:val="white"/>
        </w:rPr>
      </w:pPr>
    </w:p>
    <w:p w14:paraId="4A672DAA" w14:textId="77777777" w:rsidR="006746E7" w:rsidRDefault="00B23247">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734F9CEF" w14:textId="77777777" w:rsidR="006746E7" w:rsidRDefault="006746E7">
      <w:pPr>
        <w:jc w:val="both"/>
        <w:rPr>
          <w:rFonts w:ascii="Arial" w:eastAsia="Arial" w:hAnsi="Arial" w:cs="Arial"/>
          <w:sz w:val="22"/>
          <w:szCs w:val="22"/>
        </w:rPr>
      </w:pPr>
      <w:bookmarkStart w:id="2" w:name="_heading=h.vmq5jlsylcjh" w:colFirst="0" w:colLast="0"/>
      <w:bookmarkEnd w:id="2"/>
    </w:p>
    <w:p w14:paraId="50447648" w14:textId="3F84212E" w:rsidR="006746E7" w:rsidRDefault="00B23247">
      <w:pPr>
        <w:widowControl w:val="0"/>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Que la Dirección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conoció de la queja presentada por la señora MARIA ELISA SARMIENTO MUÑOZ, en su condición de propietaria del apartamento 701 del  proyecto de vivienda EDIFICIO ARTE SÓLIDO 62</w:t>
      </w:r>
      <w:r w:rsidR="00B10A0D">
        <w:rPr>
          <w:rFonts w:ascii="Arial" w:eastAsia="Arial" w:hAnsi="Arial" w:cs="Arial"/>
          <w:sz w:val="22"/>
          <w:szCs w:val="22"/>
        </w:rPr>
        <w:t xml:space="preserve"> – PROPIEDAD HORIZONTAL</w:t>
      </w:r>
      <w:r>
        <w:rPr>
          <w:rFonts w:ascii="Arial" w:eastAsia="Arial" w:hAnsi="Arial" w:cs="Arial"/>
          <w:sz w:val="22"/>
          <w:szCs w:val="22"/>
        </w:rPr>
        <w:t>, ubicado en la Carrera 2 No. 62</w:t>
      </w:r>
      <w:r w:rsidR="00B10A0D">
        <w:rPr>
          <w:rFonts w:ascii="Arial" w:eastAsia="Arial" w:hAnsi="Arial" w:cs="Arial"/>
          <w:sz w:val="22"/>
          <w:szCs w:val="22"/>
        </w:rPr>
        <w:t xml:space="preserve"> </w:t>
      </w:r>
      <w:r>
        <w:rPr>
          <w:rFonts w:ascii="Arial" w:eastAsia="Arial" w:hAnsi="Arial" w:cs="Arial"/>
          <w:sz w:val="22"/>
          <w:szCs w:val="22"/>
        </w:rPr>
        <w:t>A - 20 de esta ciudad, por las presuntas irregularidades presentadas en las zonas privadas del referido inmueble, contra la sociedad enajenadora HECHO CONCRETO S.A.S, identificada con N</w:t>
      </w:r>
      <w:r w:rsidR="008002C0">
        <w:rPr>
          <w:rFonts w:ascii="Arial" w:eastAsia="Arial" w:hAnsi="Arial" w:cs="Arial"/>
          <w:sz w:val="22"/>
          <w:szCs w:val="22"/>
        </w:rPr>
        <w:t xml:space="preserve">IT. </w:t>
      </w:r>
      <w:r>
        <w:rPr>
          <w:rFonts w:ascii="Arial" w:eastAsia="Arial" w:hAnsi="Arial" w:cs="Arial"/>
          <w:sz w:val="22"/>
          <w:szCs w:val="22"/>
        </w:rPr>
        <w:t>900.354.896-6, representada por el señor GABRIEL JAIME OCHOA SAMPEDRO, (o quien haga sus veces), actuación a la que le correspondió el radicado 1-2017-35719.</w:t>
      </w:r>
    </w:p>
    <w:p w14:paraId="6D7A92ED" w14:textId="77777777" w:rsidR="006746E7" w:rsidRDefault="006746E7">
      <w:pPr>
        <w:widowControl w:val="0"/>
        <w:pBdr>
          <w:top w:val="nil"/>
          <w:left w:val="nil"/>
          <w:bottom w:val="nil"/>
          <w:right w:val="nil"/>
          <w:between w:val="nil"/>
        </w:pBdr>
        <w:jc w:val="both"/>
        <w:rPr>
          <w:rFonts w:ascii="Arial" w:eastAsia="Arial" w:hAnsi="Arial" w:cs="Arial"/>
          <w:sz w:val="22"/>
          <w:szCs w:val="22"/>
        </w:rPr>
      </w:pPr>
    </w:p>
    <w:p w14:paraId="12638816" w14:textId="2ED3504D" w:rsidR="006746E7" w:rsidRPr="003A269B" w:rsidRDefault="00B23247">
      <w:pPr>
        <w:widowControl w:val="0"/>
        <w:pBdr>
          <w:top w:val="nil"/>
          <w:left w:val="nil"/>
          <w:bottom w:val="nil"/>
          <w:right w:val="nil"/>
          <w:between w:val="nil"/>
        </w:pBdr>
        <w:jc w:val="both"/>
        <w:rPr>
          <w:rFonts w:ascii="Arial" w:eastAsia="Arial" w:hAnsi="Arial" w:cs="Arial"/>
          <w:sz w:val="22"/>
          <w:szCs w:val="22"/>
        </w:rPr>
      </w:pPr>
      <w:bookmarkStart w:id="3" w:name="_heading=h.3znysh7" w:colFirst="0" w:colLast="0"/>
      <w:bookmarkEnd w:id="3"/>
      <w:r>
        <w:rPr>
          <w:rFonts w:ascii="Arial" w:eastAsia="Arial" w:hAnsi="Arial" w:cs="Arial"/>
          <w:sz w:val="22"/>
          <w:szCs w:val="22"/>
        </w:rPr>
        <w:t>Que, luego de surtidas las actuaciones pertinentes, esta Dirección, expidió la Resolución No. 1818 del 11 de septiembre de 2019, "</w:t>
      </w:r>
      <w:r>
        <w:rPr>
          <w:rFonts w:ascii="Arial" w:eastAsia="Arial" w:hAnsi="Arial" w:cs="Arial"/>
          <w:i/>
          <w:iCs/>
          <w:sz w:val="22"/>
          <w:szCs w:val="22"/>
        </w:rPr>
        <w:t>Por la cual se impone una sanción y se imparte una orden</w:t>
      </w:r>
      <w:r>
        <w:rPr>
          <w:rFonts w:ascii="Arial" w:eastAsia="Arial" w:hAnsi="Arial" w:cs="Arial"/>
          <w:sz w:val="22"/>
          <w:szCs w:val="22"/>
        </w:rPr>
        <w:t>", en la que se impuso a la sociedad enajenadora HECHO CONCRETO S.A.S, con NIT 900.354.896-6, multa por valor de</w:t>
      </w:r>
      <w:r>
        <w:t xml:space="preserve"> </w:t>
      </w:r>
      <w:r>
        <w:rPr>
          <w:rFonts w:ascii="Arial" w:eastAsia="Arial" w:hAnsi="Arial" w:cs="Arial"/>
          <w:sz w:val="22"/>
          <w:szCs w:val="22"/>
        </w:rPr>
        <w:t>TREINTA Y CINCO MIL PESO ($35.000.00) M/CTE,, indexados a la fecha corresponden a CINCO MILLONES DOSCIENTOS CUARENTA Y SEIS MIL SEISCIENTOS OCHENTA Y SIETE PESOS ($5.246.687.00) M/CTE</w:t>
      </w:r>
      <w:r w:rsidRPr="003A269B">
        <w:rPr>
          <w:rFonts w:ascii="Arial" w:eastAsia="Arial" w:hAnsi="Arial" w:cs="Arial"/>
          <w:sz w:val="22"/>
          <w:szCs w:val="22"/>
        </w:rPr>
        <w:t>.</w:t>
      </w:r>
    </w:p>
    <w:p w14:paraId="0F685C62" w14:textId="77777777" w:rsidR="006746E7" w:rsidRPr="003A269B" w:rsidRDefault="006746E7">
      <w:pPr>
        <w:ind w:right="-92"/>
        <w:jc w:val="both"/>
        <w:rPr>
          <w:rFonts w:ascii="Arial" w:eastAsia="Arial" w:hAnsi="Arial" w:cs="Arial"/>
          <w:sz w:val="22"/>
          <w:szCs w:val="22"/>
        </w:rPr>
      </w:pPr>
    </w:p>
    <w:p w14:paraId="31ACCB68" w14:textId="77777777" w:rsidR="006746E7" w:rsidRPr="003A269B" w:rsidRDefault="00B23247">
      <w:pPr>
        <w:ind w:right="49"/>
        <w:jc w:val="both"/>
        <w:rPr>
          <w:rFonts w:ascii="Arial" w:eastAsia="Arial" w:hAnsi="Arial" w:cs="Arial"/>
          <w:sz w:val="22"/>
          <w:szCs w:val="22"/>
        </w:rPr>
      </w:pPr>
      <w:r w:rsidRPr="003A269B">
        <w:rPr>
          <w:rFonts w:ascii="Arial" w:eastAsia="Arial" w:hAnsi="Arial" w:cs="Arial"/>
          <w:sz w:val="22"/>
          <w:szCs w:val="22"/>
        </w:rPr>
        <w:t>Que, además de la multa, los artículos segundo, tercero y cuarto de esta Resolución No. 1818 del 11 de septiembre de 2019, “</w:t>
      </w:r>
      <w:r w:rsidRPr="003A269B">
        <w:rPr>
          <w:rFonts w:ascii="Arial" w:eastAsia="Arial" w:hAnsi="Arial" w:cs="Arial"/>
          <w:i/>
          <w:iCs/>
          <w:sz w:val="22"/>
          <w:szCs w:val="22"/>
        </w:rPr>
        <w:t>Por la cual se impone una sanción y se imparte una orden</w:t>
      </w:r>
      <w:r w:rsidRPr="003A269B">
        <w:rPr>
          <w:rFonts w:ascii="Arial" w:eastAsia="Arial" w:hAnsi="Arial" w:cs="Arial"/>
          <w:sz w:val="22"/>
          <w:szCs w:val="22"/>
        </w:rPr>
        <w:t xml:space="preserve">”, señalan: </w:t>
      </w:r>
    </w:p>
    <w:p w14:paraId="4D042A46" w14:textId="77777777" w:rsidR="006746E7" w:rsidRPr="003A269B" w:rsidRDefault="006746E7">
      <w:pPr>
        <w:ind w:right="-92"/>
        <w:jc w:val="both"/>
        <w:rPr>
          <w:rFonts w:ascii="Arial" w:eastAsia="Arial" w:hAnsi="Arial" w:cs="Arial"/>
          <w:i/>
          <w:iCs/>
          <w:sz w:val="22"/>
          <w:szCs w:val="22"/>
        </w:rPr>
      </w:pPr>
    </w:p>
    <w:p w14:paraId="19D55EE0" w14:textId="77777777" w:rsidR="00A94BDA" w:rsidRPr="003A269B" w:rsidRDefault="009B039E">
      <w:pPr>
        <w:ind w:left="709" w:right="50"/>
        <w:jc w:val="both"/>
        <w:rPr>
          <w:rFonts w:ascii="Arial" w:hAnsi="Arial" w:cs="Arial"/>
          <w:i/>
          <w:iCs/>
          <w:sz w:val="19"/>
          <w:szCs w:val="19"/>
          <w:shd w:val="clear" w:color="auto" w:fill="FFF8F7"/>
        </w:rPr>
      </w:pPr>
      <w:r w:rsidRPr="003A269B">
        <w:rPr>
          <w:rFonts w:ascii="Arial" w:hAnsi="Arial" w:cs="Arial"/>
          <w:b/>
          <w:bCs/>
          <w:i/>
          <w:iCs/>
          <w:sz w:val="19"/>
          <w:szCs w:val="19"/>
          <w:shd w:val="clear" w:color="auto" w:fill="FFF8F7"/>
        </w:rPr>
        <w:t>ARTÍCULO SEGUNDO:</w:t>
      </w:r>
      <w:r w:rsidRPr="003A269B">
        <w:rPr>
          <w:rFonts w:ascii="Arial" w:hAnsi="Arial" w:cs="Arial"/>
          <w:i/>
          <w:iCs/>
          <w:sz w:val="19"/>
          <w:szCs w:val="19"/>
          <w:shd w:val="clear" w:color="auto" w:fill="FFF8F7"/>
        </w:rPr>
        <w:t xml:space="preserve"> Requerir a la sociedad </w:t>
      </w:r>
      <w:r w:rsidRPr="003A269B">
        <w:rPr>
          <w:rFonts w:ascii="Arial" w:hAnsi="Arial" w:cs="Arial"/>
          <w:b/>
          <w:bCs/>
          <w:i/>
          <w:iCs/>
          <w:sz w:val="19"/>
          <w:szCs w:val="19"/>
          <w:shd w:val="clear" w:color="auto" w:fill="FFF8F7"/>
        </w:rPr>
        <w:t>HECHO CONCRETO S.A.S.</w:t>
      </w:r>
      <w:r w:rsidRPr="003A269B">
        <w:rPr>
          <w:rFonts w:ascii="Arial" w:hAnsi="Arial" w:cs="Arial"/>
          <w:i/>
          <w:iCs/>
          <w:sz w:val="19"/>
          <w:szCs w:val="19"/>
          <w:shd w:val="clear" w:color="auto" w:fill="FFF8F7"/>
        </w:rPr>
        <w:t xml:space="preserve">, identificada con NIT. </w:t>
      </w:r>
      <w:r w:rsidRPr="003A269B">
        <w:rPr>
          <w:rFonts w:ascii="Arial" w:hAnsi="Arial" w:cs="Arial"/>
          <w:b/>
          <w:bCs/>
          <w:i/>
          <w:iCs/>
          <w:sz w:val="19"/>
          <w:szCs w:val="19"/>
          <w:shd w:val="clear" w:color="auto" w:fill="FFF8F7"/>
        </w:rPr>
        <w:t>900.354.896-6</w:t>
      </w:r>
      <w:r w:rsidRPr="003A269B">
        <w:rPr>
          <w:rFonts w:ascii="Arial" w:hAnsi="Arial" w:cs="Arial"/>
          <w:i/>
          <w:iCs/>
          <w:sz w:val="19"/>
          <w:szCs w:val="19"/>
          <w:shd w:val="clear" w:color="auto" w:fill="FFF8F7"/>
        </w:rPr>
        <w:t xml:space="preserve">, representada legalmente por el señor </w:t>
      </w:r>
      <w:r w:rsidRPr="003A269B">
        <w:rPr>
          <w:rFonts w:ascii="Arial" w:hAnsi="Arial" w:cs="Arial"/>
          <w:b/>
          <w:bCs/>
          <w:i/>
          <w:iCs/>
          <w:sz w:val="19"/>
          <w:szCs w:val="19"/>
          <w:shd w:val="clear" w:color="auto" w:fill="FFF8F7"/>
        </w:rPr>
        <w:t>GABRIEL AIME OCHOA SAMPEDRO</w:t>
      </w:r>
      <w:r w:rsidRPr="003A269B">
        <w:rPr>
          <w:rFonts w:ascii="Arial" w:hAnsi="Arial" w:cs="Arial"/>
          <w:i/>
          <w:iCs/>
          <w:sz w:val="19"/>
          <w:szCs w:val="19"/>
          <w:shd w:val="clear" w:color="auto" w:fill="FFF8F7"/>
        </w:rPr>
        <w:t xml:space="preserve"> (o quien haga sus veces), para que dentro del término de </w:t>
      </w:r>
      <w:r w:rsidRPr="003A269B">
        <w:rPr>
          <w:rFonts w:ascii="Arial" w:hAnsi="Arial" w:cs="Arial"/>
          <w:b/>
          <w:bCs/>
          <w:i/>
          <w:iCs/>
          <w:sz w:val="19"/>
          <w:szCs w:val="19"/>
          <w:shd w:val="clear" w:color="auto" w:fill="FFF8F7"/>
        </w:rPr>
        <w:t>CUATRO (4) meses</w:t>
      </w:r>
      <w:r w:rsidRPr="003A269B">
        <w:rPr>
          <w:rFonts w:ascii="Arial" w:hAnsi="Arial" w:cs="Arial"/>
          <w:i/>
          <w:iCs/>
          <w:sz w:val="19"/>
          <w:szCs w:val="19"/>
          <w:shd w:val="clear" w:color="auto" w:fill="FFF8F7"/>
        </w:rPr>
        <w:t xml:space="preserve"> calendario siguientes a la ejecutoria del presente acto administrativo se acoja a la normatividad infringida, para lo cual deberá realizar los trabajos tendientes a solucionar en forma definitiva los hechos que afectan las áreas privadas del apartamento 701 del proyecto de vivienda </w:t>
      </w:r>
      <w:r w:rsidRPr="003A269B">
        <w:rPr>
          <w:rFonts w:ascii="Arial" w:hAnsi="Arial" w:cs="Arial"/>
          <w:b/>
          <w:bCs/>
          <w:i/>
          <w:iCs/>
          <w:sz w:val="19"/>
          <w:szCs w:val="19"/>
          <w:shd w:val="clear" w:color="auto" w:fill="FFF8F7"/>
        </w:rPr>
        <w:t>CONJUNTO RESIDENCIAL ARTE SÓLIDO 62 - PROPIEDAD HORIZONTAL</w:t>
      </w:r>
      <w:r w:rsidRPr="003A269B">
        <w:rPr>
          <w:rFonts w:ascii="Arial" w:hAnsi="Arial" w:cs="Arial"/>
          <w:i/>
          <w:iCs/>
          <w:sz w:val="19"/>
          <w:szCs w:val="19"/>
          <w:shd w:val="clear" w:color="auto" w:fill="FFF8F7"/>
        </w:rPr>
        <w:t xml:space="preserve">, consistentes en </w:t>
      </w:r>
      <w:r w:rsidRPr="003A269B">
        <w:rPr>
          <w:rFonts w:ascii="Arial" w:hAnsi="Arial" w:cs="Arial"/>
          <w:b/>
          <w:bCs/>
          <w:i/>
          <w:iCs/>
          <w:sz w:val="19"/>
          <w:szCs w:val="19"/>
          <w:shd w:val="clear" w:color="auto" w:fill="FFF8F7"/>
        </w:rPr>
        <w:t>"1. Dilataciones en el piso de madera" y "3. Humedad en el cielo razo del baño de la zona social y mampostería de la fachada manchada"</w:t>
      </w:r>
      <w:r w:rsidRPr="003A269B">
        <w:rPr>
          <w:rFonts w:ascii="Arial" w:hAnsi="Arial" w:cs="Arial"/>
          <w:i/>
          <w:iCs/>
          <w:sz w:val="19"/>
          <w:szCs w:val="19"/>
          <w:shd w:val="clear" w:color="auto" w:fill="FFF8F7"/>
        </w:rPr>
        <w:t xml:space="preserve">, ya que constituyen deficiencias constructivas calificadas como afectaciones leves y grave, respectivamente, conforme se evidencia en el Informe de Verificación de Hechos No. 18-686 del 13 de noviembre de 2018 (folios 57 a 60); lo </w:t>
      </w:r>
      <w:r w:rsidRPr="003A269B">
        <w:rPr>
          <w:rFonts w:ascii="Arial" w:hAnsi="Arial" w:cs="Arial"/>
          <w:i/>
          <w:iCs/>
          <w:sz w:val="19"/>
          <w:szCs w:val="19"/>
          <w:shd w:val="clear" w:color="auto" w:fill="FFF8F7"/>
        </w:rPr>
        <w:lastRenderedPageBreak/>
        <w:t xml:space="preserve">anterior, en el de que lo anterior, en el evento de que dichos hechos no hayan sido intervenidos al m de la expedición de la presente Resolución. </w:t>
      </w:r>
    </w:p>
    <w:p w14:paraId="4C9BE0DD" w14:textId="77777777" w:rsidR="00A94BDA" w:rsidRPr="003A269B" w:rsidRDefault="00A94BDA">
      <w:pPr>
        <w:ind w:left="709" w:right="50"/>
        <w:jc w:val="both"/>
        <w:rPr>
          <w:rFonts w:ascii="Arial" w:hAnsi="Arial" w:cs="Arial"/>
          <w:i/>
          <w:iCs/>
          <w:sz w:val="19"/>
          <w:szCs w:val="19"/>
          <w:shd w:val="clear" w:color="auto" w:fill="FFF8F7"/>
        </w:rPr>
      </w:pPr>
    </w:p>
    <w:p w14:paraId="28B950E7" w14:textId="77777777" w:rsidR="00A94BDA" w:rsidRPr="003A269B" w:rsidRDefault="009B039E">
      <w:pPr>
        <w:ind w:left="709" w:right="50"/>
        <w:jc w:val="both"/>
        <w:rPr>
          <w:rFonts w:ascii="Arial" w:hAnsi="Arial" w:cs="Arial"/>
          <w:i/>
          <w:iCs/>
          <w:sz w:val="19"/>
          <w:szCs w:val="19"/>
          <w:shd w:val="clear" w:color="auto" w:fill="FFF8F7"/>
        </w:rPr>
      </w:pPr>
      <w:r w:rsidRPr="003A269B">
        <w:rPr>
          <w:rFonts w:ascii="Arial" w:hAnsi="Arial" w:cs="Arial"/>
          <w:b/>
          <w:bCs/>
          <w:i/>
          <w:iCs/>
          <w:sz w:val="19"/>
          <w:szCs w:val="19"/>
          <w:shd w:val="clear" w:color="auto" w:fill="FFF8F7"/>
        </w:rPr>
        <w:t>ARTÍCULO TERCERO:</w:t>
      </w:r>
      <w:r w:rsidRPr="003A269B">
        <w:rPr>
          <w:rFonts w:ascii="Arial" w:hAnsi="Arial" w:cs="Arial"/>
          <w:i/>
          <w:iCs/>
          <w:sz w:val="19"/>
          <w:szCs w:val="19"/>
          <w:shd w:val="clear" w:color="auto" w:fill="FFF8F7"/>
        </w:rPr>
        <w:t xml:space="preserve"> Ordenar a la sociedad </w:t>
      </w:r>
      <w:r w:rsidRPr="003A269B">
        <w:rPr>
          <w:rFonts w:ascii="Arial" w:hAnsi="Arial" w:cs="Arial"/>
          <w:b/>
          <w:bCs/>
          <w:i/>
          <w:iCs/>
          <w:sz w:val="19"/>
          <w:szCs w:val="19"/>
          <w:shd w:val="clear" w:color="auto" w:fill="FFF8F7"/>
        </w:rPr>
        <w:t>HECHO CONCRETO S.A.S</w:t>
      </w:r>
      <w:r w:rsidRPr="003A269B">
        <w:rPr>
          <w:rFonts w:ascii="Arial" w:hAnsi="Arial" w:cs="Arial"/>
          <w:i/>
          <w:iCs/>
          <w:sz w:val="19"/>
          <w:szCs w:val="19"/>
          <w:shd w:val="clear" w:color="auto" w:fill="FFF8F7"/>
        </w:rPr>
        <w:t xml:space="preserve">., identificada con NIT. </w:t>
      </w:r>
      <w:r w:rsidRPr="003A269B">
        <w:rPr>
          <w:rFonts w:ascii="Arial" w:hAnsi="Arial" w:cs="Arial"/>
          <w:b/>
          <w:bCs/>
          <w:i/>
          <w:iCs/>
          <w:sz w:val="19"/>
          <w:szCs w:val="19"/>
          <w:shd w:val="clear" w:color="auto" w:fill="FFF8F7"/>
        </w:rPr>
        <w:t>900.354.896-6</w:t>
      </w:r>
      <w:r w:rsidRPr="003A269B">
        <w:rPr>
          <w:rFonts w:ascii="Arial" w:hAnsi="Arial" w:cs="Arial"/>
          <w:i/>
          <w:iCs/>
          <w:sz w:val="19"/>
          <w:szCs w:val="19"/>
          <w:shd w:val="clear" w:color="auto" w:fill="FFF8F7"/>
        </w:rPr>
        <w:t xml:space="preserve">, representada legalmente por el señor </w:t>
      </w:r>
      <w:r w:rsidRPr="003A269B">
        <w:rPr>
          <w:rFonts w:ascii="Arial" w:hAnsi="Arial" w:cs="Arial"/>
          <w:b/>
          <w:bCs/>
          <w:i/>
          <w:iCs/>
          <w:sz w:val="19"/>
          <w:szCs w:val="19"/>
          <w:shd w:val="clear" w:color="auto" w:fill="FFF8F7"/>
        </w:rPr>
        <w:t>GABRIEL JAIME OCHOA SAMPEDRO</w:t>
      </w:r>
      <w:r w:rsidRPr="003A269B">
        <w:rPr>
          <w:rFonts w:ascii="Arial" w:hAnsi="Arial" w:cs="Arial"/>
          <w:i/>
          <w:iCs/>
          <w:sz w:val="19"/>
          <w:szCs w:val="19"/>
          <w:shd w:val="clear" w:color="auto" w:fill="FFF8F7"/>
        </w:rPr>
        <w:t xml:space="preserve"> (o quien haga sus veces), para que dentro de los diez (10) días (hábiles) siguientes al cumplimiento del término otorgado en el articulo anterior, acredite ante este Despacho la realización de las labores de corrección sobre el citado hecho. </w:t>
      </w:r>
    </w:p>
    <w:p w14:paraId="7CD09B1E" w14:textId="77777777" w:rsidR="00A94BDA" w:rsidRPr="003A269B" w:rsidRDefault="00A94BDA">
      <w:pPr>
        <w:ind w:left="709" w:right="50"/>
        <w:jc w:val="both"/>
        <w:rPr>
          <w:rFonts w:ascii="Arial" w:hAnsi="Arial" w:cs="Arial"/>
          <w:i/>
          <w:iCs/>
          <w:sz w:val="19"/>
          <w:szCs w:val="19"/>
          <w:shd w:val="clear" w:color="auto" w:fill="FFF8F7"/>
        </w:rPr>
      </w:pPr>
    </w:p>
    <w:p w14:paraId="4C358D0E" w14:textId="4F42B017" w:rsidR="006746E7" w:rsidRPr="003A269B" w:rsidRDefault="009B039E">
      <w:pPr>
        <w:ind w:left="709" w:right="50"/>
        <w:jc w:val="both"/>
        <w:rPr>
          <w:rFonts w:ascii="Arial" w:hAnsi="Arial" w:cs="Arial"/>
          <w:i/>
          <w:iCs/>
          <w:sz w:val="19"/>
          <w:szCs w:val="19"/>
          <w:shd w:val="clear" w:color="auto" w:fill="FFF8F7"/>
        </w:rPr>
      </w:pPr>
      <w:r w:rsidRPr="003A269B">
        <w:rPr>
          <w:rFonts w:ascii="Arial" w:hAnsi="Arial" w:cs="Arial"/>
          <w:b/>
          <w:bCs/>
          <w:i/>
          <w:iCs/>
          <w:sz w:val="19"/>
          <w:szCs w:val="19"/>
          <w:shd w:val="clear" w:color="auto" w:fill="FFF8F7"/>
        </w:rPr>
        <w:t xml:space="preserve">ARTÍCULO CUARTO: </w:t>
      </w:r>
      <w:r w:rsidRPr="003A269B">
        <w:rPr>
          <w:rFonts w:ascii="Arial" w:hAnsi="Arial" w:cs="Arial"/>
          <w:i/>
          <w:iCs/>
          <w:sz w:val="19"/>
          <w:szCs w:val="19"/>
          <w:shd w:val="clear" w:color="auto" w:fill="FFF8F7"/>
        </w:rPr>
        <w:t>EI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numeral 9 del artículo 2º del Decreto Ley 078 de 1987.</w:t>
      </w:r>
    </w:p>
    <w:p w14:paraId="2A414256" w14:textId="77777777" w:rsidR="009B039E" w:rsidRPr="003A269B" w:rsidRDefault="009B039E">
      <w:pPr>
        <w:ind w:left="709" w:right="50"/>
        <w:jc w:val="both"/>
        <w:rPr>
          <w:rFonts w:ascii="Arial" w:eastAsia="Arial" w:hAnsi="Arial" w:cs="Arial"/>
          <w:i/>
          <w:iCs/>
          <w:sz w:val="22"/>
          <w:szCs w:val="22"/>
        </w:rPr>
      </w:pPr>
    </w:p>
    <w:p w14:paraId="3D7130F2" w14:textId="77777777" w:rsidR="006746E7" w:rsidRDefault="00B23247">
      <w:pPr>
        <w:ind w:right="-92"/>
        <w:jc w:val="both"/>
        <w:rPr>
          <w:rFonts w:ascii="Arial" w:eastAsia="Arial" w:hAnsi="Arial" w:cs="Arial"/>
          <w:sz w:val="22"/>
          <w:szCs w:val="22"/>
        </w:rPr>
      </w:pPr>
      <w:r w:rsidRPr="003A269B">
        <w:rPr>
          <w:rFonts w:ascii="Arial" w:eastAsia="Arial" w:hAnsi="Arial" w:cs="Arial"/>
          <w:sz w:val="22"/>
          <w:szCs w:val="22"/>
        </w:rPr>
        <w:t xml:space="preserve">Que, una vez notificado el precitado acto administrativo, mediante memorial radicado No. 1-2020-00122 del 02 de enero de 2020 la sociedad enajenadora HECHO CONCRETO S.A.S, interpuso recurso de reposición </w:t>
      </w:r>
      <w:r>
        <w:rPr>
          <w:rFonts w:ascii="Arial" w:eastAsia="Arial" w:hAnsi="Arial" w:cs="Arial"/>
          <w:sz w:val="22"/>
          <w:szCs w:val="22"/>
        </w:rPr>
        <w:t>y en subsidio apelación en contra de la Resolución No. 1818 del 11 de septiembre de 2019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w:t>
      </w:r>
    </w:p>
    <w:p w14:paraId="3A6F8C1B" w14:textId="77777777" w:rsidR="006746E7" w:rsidRDefault="006746E7">
      <w:pPr>
        <w:ind w:right="-92"/>
        <w:jc w:val="both"/>
        <w:rPr>
          <w:rFonts w:ascii="Arial" w:eastAsia="Arial" w:hAnsi="Arial" w:cs="Arial"/>
          <w:sz w:val="22"/>
          <w:szCs w:val="22"/>
        </w:rPr>
      </w:pPr>
    </w:p>
    <w:p w14:paraId="645EB9A1" w14:textId="77777777" w:rsidR="006746E7" w:rsidRDefault="00B23247">
      <w:pPr>
        <w:ind w:right="-92"/>
        <w:jc w:val="both"/>
        <w:rPr>
          <w:rFonts w:ascii="Arial" w:eastAsia="Arial" w:hAnsi="Arial" w:cs="Arial"/>
          <w:sz w:val="22"/>
          <w:szCs w:val="22"/>
        </w:rPr>
      </w:pPr>
      <w:r>
        <w:rPr>
          <w:rFonts w:ascii="Arial" w:eastAsia="Arial" w:hAnsi="Arial" w:cs="Arial"/>
          <w:sz w:val="22"/>
          <w:szCs w:val="22"/>
        </w:rPr>
        <w:t>Que, así mismo, mediante radicado 1-2020-01260 del 22 de enero de 2020, la parte quejosa allegó comunicado de estados de los hechos, donde manifiesta no haber tenido solución alguna por parte de la sociedad enajenadora HECHO CONCRETO S.A.S.</w:t>
      </w:r>
    </w:p>
    <w:p w14:paraId="21043CD1" w14:textId="77777777" w:rsidR="006746E7" w:rsidRDefault="006746E7">
      <w:pPr>
        <w:ind w:right="-92"/>
        <w:jc w:val="both"/>
        <w:rPr>
          <w:rFonts w:ascii="Arial" w:eastAsia="Arial" w:hAnsi="Arial" w:cs="Arial"/>
          <w:sz w:val="22"/>
          <w:szCs w:val="22"/>
        </w:rPr>
      </w:pPr>
    </w:p>
    <w:p w14:paraId="3A9DE3E9" w14:textId="2DE5CCD0" w:rsidR="006746E7" w:rsidRDefault="00B23247">
      <w:pPr>
        <w:ind w:right="-92"/>
        <w:jc w:val="both"/>
        <w:rPr>
          <w:rFonts w:ascii="Arial" w:eastAsia="Arial" w:hAnsi="Arial" w:cs="Arial"/>
          <w:sz w:val="22"/>
          <w:szCs w:val="22"/>
        </w:rPr>
      </w:pPr>
      <w:r>
        <w:rPr>
          <w:rFonts w:ascii="Arial" w:eastAsia="Arial" w:hAnsi="Arial" w:cs="Arial"/>
          <w:sz w:val="22"/>
          <w:szCs w:val="22"/>
        </w:rPr>
        <w:t>Que a través de la Resolución No. 656 del 25 de septiembre de 2020 resolvió el recurso de reposición interpuesto</w:t>
      </w:r>
      <w:r w:rsidR="00624077">
        <w:rPr>
          <w:rFonts w:ascii="Arial" w:eastAsia="Arial" w:hAnsi="Arial" w:cs="Arial"/>
          <w:sz w:val="22"/>
          <w:szCs w:val="22"/>
        </w:rPr>
        <w:t xml:space="preserve"> </w:t>
      </w:r>
      <w:r>
        <w:rPr>
          <w:rFonts w:ascii="Arial" w:eastAsia="Arial" w:hAnsi="Arial" w:cs="Arial"/>
          <w:sz w:val="22"/>
          <w:szCs w:val="22"/>
        </w:rPr>
        <w:t xml:space="preserve">y la Resolución No. 909 del 27 de mayo de 2021 resolvió el recurso de apelación, </w:t>
      </w:r>
      <w:r w:rsidR="00624077">
        <w:rPr>
          <w:rFonts w:ascii="Arial" w:eastAsia="Arial" w:hAnsi="Arial" w:cs="Arial"/>
          <w:sz w:val="22"/>
          <w:szCs w:val="22"/>
        </w:rPr>
        <w:t xml:space="preserve">las cuales decidieron confirmar </w:t>
      </w:r>
      <w:r>
        <w:rPr>
          <w:rFonts w:ascii="Arial" w:eastAsia="Arial" w:hAnsi="Arial" w:cs="Arial"/>
          <w:sz w:val="22"/>
          <w:szCs w:val="22"/>
        </w:rPr>
        <w:t>en todas sus partes la Resolución No. 1818 del 11 de septiembre de 2019</w:t>
      </w:r>
      <w:r w:rsidR="00624077">
        <w:rPr>
          <w:rFonts w:ascii="Arial" w:eastAsia="Arial" w:hAnsi="Arial" w:cs="Arial"/>
          <w:sz w:val="22"/>
          <w:szCs w:val="22"/>
        </w:rPr>
        <w:t xml:space="preserve">, acto seguido, </w:t>
      </w:r>
      <w:r>
        <w:rPr>
          <w:rFonts w:ascii="Arial" w:eastAsia="Arial" w:hAnsi="Arial" w:cs="Arial"/>
          <w:sz w:val="22"/>
          <w:szCs w:val="22"/>
        </w:rPr>
        <w:t>quedó debidamente ejecutoriada el día diez (10) de junio del 2021.</w:t>
      </w:r>
    </w:p>
    <w:p w14:paraId="563D2E25" w14:textId="77777777" w:rsidR="006746E7" w:rsidRDefault="006746E7">
      <w:pPr>
        <w:ind w:right="-92"/>
        <w:jc w:val="both"/>
        <w:rPr>
          <w:rFonts w:ascii="Arial" w:eastAsia="Arial" w:hAnsi="Arial" w:cs="Arial"/>
          <w:sz w:val="22"/>
          <w:szCs w:val="22"/>
        </w:rPr>
      </w:pPr>
    </w:p>
    <w:p w14:paraId="04202CBE" w14:textId="2E6AE9BC" w:rsidR="006746E7" w:rsidRDefault="00624077">
      <w:pPr>
        <w:ind w:right="-92"/>
        <w:jc w:val="both"/>
        <w:rPr>
          <w:rFonts w:ascii="Arial" w:eastAsia="Arial" w:hAnsi="Arial" w:cs="Arial"/>
          <w:sz w:val="22"/>
          <w:szCs w:val="22"/>
        </w:rPr>
      </w:pPr>
      <w:r>
        <w:rPr>
          <w:rFonts w:ascii="Arial" w:eastAsia="Arial" w:hAnsi="Arial" w:cs="Arial"/>
          <w:sz w:val="22"/>
          <w:szCs w:val="22"/>
        </w:rPr>
        <w:t>Que, a</w:t>
      </w:r>
      <w:r w:rsidRPr="00624077">
        <w:rPr>
          <w:rFonts w:ascii="Arial" w:eastAsia="Arial" w:hAnsi="Arial" w:cs="Arial"/>
          <w:sz w:val="22"/>
          <w:szCs w:val="22"/>
        </w:rPr>
        <w:t xml:space="preserve"> través del radicado 1-2022-17447 del 22 de abril de 2022, la parte quejosa manifestó su inconformidad por el estado de las áreas privadas de su propiedad y la falta de respuesta de la sociedad enajenadora. Dicha petición fue atendida por esta Dirección mediante el oficio 2-2022-34453 del 08 de junio de 2022</w:t>
      </w:r>
      <w:r w:rsidR="00B23247" w:rsidRPr="00624077">
        <w:rPr>
          <w:rFonts w:ascii="Arial" w:eastAsia="Arial" w:hAnsi="Arial" w:cs="Arial"/>
          <w:sz w:val="22"/>
          <w:szCs w:val="22"/>
        </w:rPr>
        <w:t>.</w:t>
      </w:r>
      <w:r w:rsidR="00B23247">
        <w:rPr>
          <w:rFonts w:ascii="Arial" w:eastAsia="Arial" w:hAnsi="Arial" w:cs="Arial"/>
          <w:sz w:val="22"/>
          <w:szCs w:val="22"/>
        </w:rPr>
        <w:t xml:space="preserve"> </w:t>
      </w:r>
    </w:p>
    <w:p w14:paraId="61612CB2" w14:textId="77777777" w:rsidR="006746E7" w:rsidRDefault="006746E7">
      <w:pPr>
        <w:ind w:right="-92"/>
        <w:jc w:val="both"/>
        <w:rPr>
          <w:rFonts w:ascii="Arial" w:eastAsia="Arial" w:hAnsi="Arial" w:cs="Arial"/>
          <w:sz w:val="22"/>
          <w:szCs w:val="22"/>
        </w:rPr>
      </w:pPr>
    </w:p>
    <w:p w14:paraId="67FC80ED" w14:textId="77777777" w:rsidR="006746E7" w:rsidRDefault="00B23247">
      <w:pPr>
        <w:ind w:right="-92"/>
        <w:jc w:val="both"/>
        <w:rPr>
          <w:rFonts w:ascii="Arial" w:eastAsia="Arial" w:hAnsi="Arial" w:cs="Arial"/>
          <w:sz w:val="22"/>
          <w:szCs w:val="22"/>
        </w:rPr>
      </w:pPr>
      <w:r>
        <w:rPr>
          <w:rFonts w:ascii="Arial" w:eastAsia="Arial" w:hAnsi="Arial" w:cs="Arial"/>
          <w:sz w:val="22"/>
          <w:szCs w:val="22"/>
        </w:rPr>
        <w:t>Que mediante radicados 2-2023-54158 y 2-2023-54160 del 27 de julio de 2023, se requirió a la sociedad enajenadora y al quejoso, para que informaran frente al cumplimiento de la orden de hacer contenida en la Resolución No. 1818 del 11 de septiembre de 2019,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frente a dicho requerimiento no se recibió respuesta por ninguna de las partes. </w:t>
      </w:r>
    </w:p>
    <w:p w14:paraId="5CEB0340" w14:textId="77777777" w:rsidR="006746E7" w:rsidRDefault="006746E7">
      <w:pPr>
        <w:ind w:right="-92"/>
        <w:jc w:val="both"/>
        <w:rPr>
          <w:rFonts w:ascii="Arial" w:eastAsia="Arial" w:hAnsi="Arial" w:cs="Arial"/>
          <w:sz w:val="22"/>
          <w:szCs w:val="22"/>
        </w:rPr>
      </w:pPr>
    </w:p>
    <w:p w14:paraId="3EE89175" w14:textId="77777777" w:rsidR="006746E7" w:rsidRDefault="00B23247">
      <w:pPr>
        <w:ind w:right="-92"/>
        <w:jc w:val="both"/>
        <w:rPr>
          <w:rFonts w:ascii="Arial" w:eastAsia="Arial" w:hAnsi="Arial" w:cs="Arial"/>
          <w:sz w:val="22"/>
          <w:szCs w:val="22"/>
        </w:rPr>
      </w:pPr>
      <w:r>
        <w:rPr>
          <w:rFonts w:ascii="Arial" w:eastAsia="Arial" w:hAnsi="Arial" w:cs="Arial"/>
          <w:sz w:val="22"/>
          <w:szCs w:val="22"/>
        </w:rPr>
        <w:t xml:space="preserve">Que, nuevamente mediante radicados 2-2024-38881 y 2-2024-38882 del 27 de agosto de 2024 se requirió a la sociedad enajenadora y al quejoso, para que informaran frente al cumplimiento de la orden de hacer contenida en la Resolución No. 1818 del 11 de septiembre </w:t>
      </w:r>
      <w:r>
        <w:rPr>
          <w:rFonts w:ascii="Arial" w:eastAsia="Arial" w:hAnsi="Arial" w:cs="Arial"/>
          <w:sz w:val="22"/>
          <w:szCs w:val="22"/>
        </w:rPr>
        <w:lastRenderedPageBreak/>
        <w:t>de 2019, “</w:t>
      </w:r>
      <w:r>
        <w:rPr>
          <w:rFonts w:ascii="Arial" w:eastAsia="Arial" w:hAnsi="Arial" w:cs="Arial"/>
          <w:i/>
          <w:iCs/>
          <w:sz w:val="22"/>
          <w:szCs w:val="22"/>
        </w:rPr>
        <w:t>Por la cual se impone una sanción y se imparte una orden</w:t>
      </w:r>
      <w:r>
        <w:rPr>
          <w:rFonts w:ascii="Arial" w:eastAsia="Arial" w:hAnsi="Arial" w:cs="Arial"/>
          <w:sz w:val="22"/>
          <w:szCs w:val="22"/>
        </w:rPr>
        <w:t>”, frente a dicho requerimiento mediante radicado No. 1-2024-34149 del 17 de agosto de 2024, la sociedad enajenadora dio respuesta.</w:t>
      </w:r>
    </w:p>
    <w:p w14:paraId="7B20FBDC" w14:textId="77777777" w:rsidR="006746E7" w:rsidRDefault="006746E7">
      <w:pPr>
        <w:ind w:right="-92"/>
        <w:jc w:val="both"/>
        <w:rPr>
          <w:rFonts w:ascii="Arial" w:eastAsia="Arial" w:hAnsi="Arial" w:cs="Arial"/>
          <w:sz w:val="22"/>
          <w:szCs w:val="22"/>
        </w:rPr>
      </w:pPr>
    </w:p>
    <w:p w14:paraId="3B6B1644" w14:textId="77777777" w:rsidR="006746E7" w:rsidRDefault="00B23247">
      <w:pPr>
        <w:ind w:right="-92"/>
        <w:jc w:val="both"/>
        <w:rPr>
          <w:rFonts w:ascii="Arial" w:eastAsia="Arial" w:hAnsi="Arial" w:cs="Arial"/>
          <w:sz w:val="22"/>
          <w:szCs w:val="22"/>
        </w:rPr>
      </w:pPr>
      <w:r>
        <w:rPr>
          <w:rFonts w:ascii="Arial" w:eastAsia="Arial" w:hAnsi="Arial" w:cs="Arial"/>
          <w:sz w:val="22"/>
          <w:szCs w:val="22"/>
        </w:rPr>
        <w:t xml:space="preserve">Que, posteriormente se dio traslado a la parte quejosa del documento radicado No. 1-2024-34149 allegado a esta entidad por la sociedad enajenadora HECHO CONCRETO S.A.S., para que en el término de (5) días calendario se pronunciara respecto de dicha solicitud. </w:t>
      </w:r>
    </w:p>
    <w:p w14:paraId="16420566" w14:textId="77777777" w:rsidR="006746E7" w:rsidRDefault="006746E7">
      <w:pPr>
        <w:ind w:right="-92"/>
        <w:jc w:val="both"/>
        <w:rPr>
          <w:rFonts w:ascii="Arial" w:eastAsia="Arial" w:hAnsi="Arial" w:cs="Arial"/>
          <w:sz w:val="22"/>
          <w:szCs w:val="22"/>
        </w:rPr>
      </w:pPr>
    </w:p>
    <w:p w14:paraId="7DD5D399" w14:textId="77777777" w:rsidR="006746E7" w:rsidRDefault="00B23247">
      <w:pPr>
        <w:ind w:right="-92"/>
        <w:jc w:val="both"/>
        <w:rPr>
          <w:rFonts w:ascii="Arial" w:eastAsia="Arial" w:hAnsi="Arial" w:cs="Arial"/>
          <w:sz w:val="22"/>
          <w:szCs w:val="22"/>
        </w:rPr>
      </w:pPr>
      <w:r>
        <w:rPr>
          <w:rFonts w:ascii="Arial" w:eastAsia="Arial" w:hAnsi="Arial" w:cs="Arial"/>
          <w:sz w:val="22"/>
          <w:szCs w:val="22"/>
        </w:rPr>
        <w:t>En consecuencia, se trasladó el expediente para visita de verificación de hechos, así las cosas, mediante radicados 2</w:t>
      </w:r>
      <w:r>
        <w:t xml:space="preserve"> </w:t>
      </w:r>
      <w:r>
        <w:rPr>
          <w:rFonts w:ascii="Arial" w:eastAsia="Arial" w:hAnsi="Arial" w:cs="Arial"/>
          <w:sz w:val="22"/>
          <w:szCs w:val="22"/>
        </w:rPr>
        <w:t>-2024-52601, 2-2024-52594 del 11 de noviembre de 2024 y 2-2024-55123 del 27 de noviembre de 2024, informó tanto a la parte quejosa como a la sociedad enajenadora, de la visita de carácter técnico que se llevaría a cabo el día 05 de diciembre de 2024 en el inmueble objeto de la queja.</w:t>
      </w:r>
    </w:p>
    <w:p w14:paraId="0F23819B" w14:textId="77777777" w:rsidR="006746E7" w:rsidRDefault="006746E7">
      <w:pPr>
        <w:ind w:right="-92"/>
        <w:jc w:val="both"/>
        <w:rPr>
          <w:rFonts w:ascii="Arial" w:eastAsia="Arial" w:hAnsi="Arial" w:cs="Arial"/>
          <w:sz w:val="22"/>
          <w:szCs w:val="22"/>
        </w:rPr>
      </w:pPr>
    </w:p>
    <w:p w14:paraId="602FD5DF" w14:textId="77777777" w:rsidR="006746E7" w:rsidRDefault="00B23247">
      <w:pPr>
        <w:ind w:right="-92"/>
        <w:jc w:val="both"/>
        <w:rPr>
          <w:rFonts w:ascii="Arial" w:eastAsia="Arial" w:hAnsi="Arial" w:cs="Arial"/>
          <w:sz w:val="22"/>
          <w:szCs w:val="22"/>
        </w:rPr>
      </w:pPr>
      <w:r>
        <w:rPr>
          <w:rFonts w:ascii="Arial" w:eastAsia="Arial" w:hAnsi="Arial" w:cs="Arial"/>
          <w:sz w:val="22"/>
          <w:szCs w:val="22"/>
        </w:rPr>
        <w:t>Que, nuevamente, mediante radicados 2-2024-56881 y 2-2024-56885 del 05 de noviembre de 2024, informó tanto a la parte quejosa como a la sociedad enajenadora, de la visita de carácter técnico que se llevaría a cabo el día 12 de diciembre de 2024 en el inmueble objeto de la queja.</w:t>
      </w:r>
    </w:p>
    <w:p w14:paraId="262CBF8E" w14:textId="77777777" w:rsidR="006746E7" w:rsidRDefault="006746E7">
      <w:pPr>
        <w:ind w:right="-92"/>
        <w:jc w:val="both"/>
        <w:rPr>
          <w:rFonts w:ascii="Arial" w:eastAsia="Arial" w:hAnsi="Arial" w:cs="Arial"/>
          <w:sz w:val="22"/>
          <w:szCs w:val="22"/>
        </w:rPr>
      </w:pPr>
    </w:p>
    <w:p w14:paraId="1DBD6183" w14:textId="19B7173C" w:rsidR="006746E7" w:rsidRPr="008241DF" w:rsidRDefault="00B23247">
      <w:pPr>
        <w:ind w:right="-92"/>
        <w:jc w:val="both"/>
        <w:rPr>
          <w:rFonts w:ascii="Arial" w:eastAsia="Arial" w:hAnsi="Arial" w:cs="Arial"/>
          <w:sz w:val="22"/>
          <w:szCs w:val="22"/>
        </w:rPr>
      </w:pPr>
      <w:r>
        <w:rPr>
          <w:rFonts w:ascii="Arial" w:eastAsia="Arial" w:hAnsi="Arial" w:cs="Arial"/>
          <w:sz w:val="22"/>
          <w:szCs w:val="22"/>
        </w:rPr>
        <w:t xml:space="preserve">Que, efectuada la visita de verificación de hechos, en donde asistieron la señora MARIA ELISA SARMIENTO MUÑOZ en calidad de propietaria del apartamento 701 del proyecto de vivienda EDIFICIO ARTE SOLIDO 62, y el señor SANTIAGO OCHOA SAMPEDRO en calidad de representante legal de la sociedad enajenadora HECHO CONCRETO S.A.S, visita de la cual se </w:t>
      </w:r>
      <w:r w:rsidRPr="008241DF">
        <w:rPr>
          <w:rFonts w:ascii="Arial" w:eastAsia="Arial" w:hAnsi="Arial" w:cs="Arial"/>
          <w:sz w:val="22"/>
          <w:szCs w:val="22"/>
        </w:rPr>
        <w:t xml:space="preserve">derivó el Informe de Verificación de Hechos No 24-619 del 17 de diciembre de 2024, que evidenció los </w:t>
      </w:r>
      <w:r w:rsidR="00D82889">
        <w:rPr>
          <w:rFonts w:ascii="Arial" w:eastAsia="Arial" w:hAnsi="Arial" w:cs="Arial"/>
          <w:sz w:val="22"/>
          <w:szCs w:val="22"/>
        </w:rPr>
        <w:t>hechos aun persisten.</w:t>
      </w:r>
    </w:p>
    <w:p w14:paraId="0552978A" w14:textId="77777777" w:rsidR="006746E7" w:rsidRPr="008241DF" w:rsidRDefault="006746E7">
      <w:pPr>
        <w:ind w:right="-92"/>
        <w:jc w:val="both"/>
        <w:rPr>
          <w:rFonts w:ascii="Arial" w:eastAsia="Arial" w:hAnsi="Arial" w:cs="Arial"/>
          <w:i/>
          <w:iCs/>
          <w:sz w:val="22"/>
          <w:szCs w:val="22"/>
        </w:rPr>
      </w:pPr>
    </w:p>
    <w:p w14:paraId="3A5CF782" w14:textId="08D9AFC8" w:rsidR="006746E7" w:rsidRDefault="00B23247">
      <w:pPr>
        <w:ind w:right="-92"/>
        <w:jc w:val="both"/>
        <w:rPr>
          <w:rFonts w:ascii="Arial" w:eastAsia="Arial" w:hAnsi="Arial" w:cs="Arial"/>
          <w:sz w:val="22"/>
          <w:szCs w:val="22"/>
        </w:rPr>
      </w:pPr>
      <w:r>
        <w:rPr>
          <w:rFonts w:ascii="Arial" w:eastAsia="Arial" w:hAnsi="Arial" w:cs="Arial"/>
          <w:sz w:val="22"/>
          <w:szCs w:val="22"/>
        </w:rPr>
        <w:t>Que, mediante oficio de radicado 2-2025-17793 del 09 de abril de 2025, se dio traslado del Informe de Verificación de Hechos No. 24-619 del 17 de diciembre de 2024 al representante legal (o quien haga sus veces) de la sociedad enajenadora HECHO CONCRETO S.A.S., ante el cual mediante radicado 1-2025-24653 del 30 de abril de 2025 dio respuesta</w:t>
      </w:r>
      <w:r w:rsidR="00D82889">
        <w:rPr>
          <w:rFonts w:ascii="Arial" w:eastAsia="Arial" w:hAnsi="Arial" w:cs="Arial"/>
          <w:sz w:val="22"/>
          <w:szCs w:val="22"/>
        </w:rPr>
        <w:t xml:space="preserve"> aduciendo que se había dado cumplimiento a los hechos objeto de la roden</w:t>
      </w:r>
      <w:r>
        <w:rPr>
          <w:rFonts w:ascii="Arial" w:eastAsia="Arial" w:hAnsi="Arial" w:cs="Arial"/>
          <w:sz w:val="22"/>
          <w:szCs w:val="22"/>
        </w:rPr>
        <w:t>.</w:t>
      </w:r>
    </w:p>
    <w:p w14:paraId="1B900B33" w14:textId="77777777" w:rsidR="006746E7" w:rsidRDefault="006746E7">
      <w:pPr>
        <w:ind w:right="-92"/>
        <w:jc w:val="both"/>
        <w:rPr>
          <w:rFonts w:ascii="Arial" w:eastAsia="Arial" w:hAnsi="Arial" w:cs="Arial"/>
          <w:sz w:val="22"/>
          <w:szCs w:val="22"/>
        </w:rPr>
      </w:pPr>
    </w:p>
    <w:p w14:paraId="000A5642" w14:textId="77777777" w:rsidR="006746E7" w:rsidRDefault="00B23247">
      <w:pPr>
        <w:ind w:right="-92"/>
        <w:jc w:val="both"/>
        <w:rPr>
          <w:rFonts w:ascii="Arial" w:eastAsia="Arial" w:hAnsi="Arial" w:cs="Arial"/>
          <w:sz w:val="22"/>
          <w:szCs w:val="22"/>
        </w:rPr>
      </w:pPr>
      <w:r>
        <w:rPr>
          <w:rFonts w:ascii="Arial" w:eastAsia="Arial" w:hAnsi="Arial" w:cs="Arial"/>
          <w:sz w:val="22"/>
          <w:szCs w:val="22"/>
        </w:rPr>
        <w:t>Que igualmente, mediante oficio de radicado 2-2025-17794 del 09 de abril de 2025, se dio traslado del Informe de Verificación de Hechos No 24-619 del 17 de diciembre de 2024 al propietario (o quien haga sus veces) del apartamento 701 del proyecto de vivienda EDIFICIO ARTE SÓLIDO 62, ante lo cual no se pronunció.</w:t>
      </w:r>
    </w:p>
    <w:p w14:paraId="279BD455" w14:textId="77777777" w:rsidR="006746E7" w:rsidRDefault="006746E7">
      <w:pPr>
        <w:ind w:right="-92"/>
        <w:rPr>
          <w:rFonts w:ascii="Arial" w:eastAsia="Arial" w:hAnsi="Arial" w:cs="Arial"/>
          <w:sz w:val="22"/>
          <w:szCs w:val="22"/>
        </w:rPr>
      </w:pPr>
    </w:p>
    <w:p w14:paraId="202D76C2" w14:textId="77777777" w:rsidR="006746E7" w:rsidRDefault="00B23247">
      <w:pPr>
        <w:ind w:right="-92"/>
        <w:jc w:val="both"/>
        <w:rPr>
          <w:rFonts w:ascii="Arial" w:eastAsia="Arial" w:hAnsi="Arial" w:cs="Arial"/>
          <w:sz w:val="22"/>
          <w:szCs w:val="22"/>
        </w:rPr>
      </w:pPr>
      <w:r>
        <w:rPr>
          <w:rFonts w:ascii="Arial" w:eastAsia="Arial" w:hAnsi="Arial" w:cs="Arial"/>
          <w:sz w:val="22"/>
          <w:szCs w:val="22"/>
        </w:rPr>
        <w:t>En razón a lo aquí expuesto, este Despacho procederá a determinar si resulta procedente la imposición de multas sucesivas ante la carencia de acreditación del cumplimiento de las órdenes de hacer impuestas mediante Resolución No.1818 del 11 de septiembre de 2019, de conformidad a lo expuesto en el inciso segundo, numeral 9° del artículo 2° del Decreto Ley 078 de 1987.</w:t>
      </w:r>
    </w:p>
    <w:p w14:paraId="0B31A23C" w14:textId="77777777" w:rsidR="006746E7" w:rsidRDefault="006746E7">
      <w:pPr>
        <w:pBdr>
          <w:top w:val="nil"/>
          <w:left w:val="nil"/>
          <w:bottom w:val="nil"/>
          <w:right w:val="nil"/>
          <w:between w:val="nil"/>
        </w:pBdr>
        <w:ind w:left="-284" w:right="-92"/>
        <w:jc w:val="center"/>
        <w:rPr>
          <w:rFonts w:ascii="Arial" w:eastAsia="Arial" w:hAnsi="Arial" w:cs="Arial"/>
          <w:b/>
          <w:bCs/>
          <w:sz w:val="22"/>
          <w:szCs w:val="22"/>
        </w:rPr>
      </w:pPr>
    </w:p>
    <w:p w14:paraId="1F2BEB0F" w14:textId="77777777" w:rsidR="00D82889" w:rsidRDefault="00D82889">
      <w:pPr>
        <w:pBdr>
          <w:top w:val="nil"/>
          <w:left w:val="nil"/>
          <w:bottom w:val="nil"/>
          <w:right w:val="nil"/>
          <w:between w:val="nil"/>
        </w:pBdr>
        <w:ind w:left="-284" w:right="-92"/>
        <w:jc w:val="center"/>
        <w:rPr>
          <w:rFonts w:ascii="Arial" w:eastAsia="Arial" w:hAnsi="Arial" w:cs="Arial"/>
          <w:b/>
          <w:bCs/>
          <w:sz w:val="22"/>
          <w:szCs w:val="22"/>
        </w:rPr>
      </w:pPr>
    </w:p>
    <w:p w14:paraId="63E932BB" w14:textId="77777777" w:rsidR="00D82889" w:rsidRDefault="00D82889">
      <w:pPr>
        <w:pBdr>
          <w:top w:val="nil"/>
          <w:left w:val="nil"/>
          <w:bottom w:val="nil"/>
          <w:right w:val="nil"/>
          <w:between w:val="nil"/>
        </w:pBdr>
        <w:ind w:left="-284" w:right="-92"/>
        <w:jc w:val="center"/>
        <w:rPr>
          <w:rFonts w:ascii="Arial" w:eastAsia="Arial" w:hAnsi="Arial" w:cs="Arial"/>
          <w:b/>
          <w:bCs/>
          <w:sz w:val="22"/>
          <w:szCs w:val="22"/>
        </w:rPr>
      </w:pPr>
    </w:p>
    <w:p w14:paraId="0A297C4A" w14:textId="77777777" w:rsidR="006746E7" w:rsidRDefault="00B23247">
      <w:pPr>
        <w:pBdr>
          <w:top w:val="nil"/>
          <w:left w:val="nil"/>
          <w:bottom w:val="nil"/>
          <w:right w:val="nil"/>
          <w:between w:val="nil"/>
        </w:pBdr>
        <w:ind w:left="-284" w:right="-92"/>
        <w:jc w:val="center"/>
        <w:rPr>
          <w:rFonts w:ascii="Arial" w:eastAsia="Arial" w:hAnsi="Arial" w:cs="Arial"/>
          <w:b/>
          <w:bCs/>
          <w:sz w:val="22"/>
          <w:szCs w:val="22"/>
        </w:rPr>
      </w:pPr>
      <w:r>
        <w:rPr>
          <w:rFonts w:ascii="Arial" w:eastAsia="Arial" w:hAnsi="Arial" w:cs="Arial"/>
          <w:b/>
          <w:bCs/>
          <w:sz w:val="22"/>
          <w:szCs w:val="22"/>
        </w:rPr>
        <w:t>CONSIDERACIONES DEL DESPACHO</w:t>
      </w:r>
    </w:p>
    <w:p w14:paraId="7491E7F7" w14:textId="77777777" w:rsidR="006746E7" w:rsidRDefault="006746E7">
      <w:pPr>
        <w:pBdr>
          <w:top w:val="nil"/>
          <w:left w:val="nil"/>
          <w:bottom w:val="nil"/>
          <w:right w:val="nil"/>
          <w:between w:val="nil"/>
        </w:pBdr>
        <w:ind w:left="-284" w:right="-92"/>
        <w:jc w:val="center"/>
        <w:rPr>
          <w:rFonts w:ascii="Arial" w:eastAsia="Arial" w:hAnsi="Arial" w:cs="Arial"/>
          <w:b/>
          <w:bCs/>
          <w:sz w:val="22"/>
          <w:szCs w:val="22"/>
        </w:rPr>
      </w:pPr>
    </w:p>
    <w:p w14:paraId="1C7CDAB4" w14:textId="77777777" w:rsidR="006746E7" w:rsidRDefault="00B23247">
      <w:pPr>
        <w:ind w:right="-92"/>
        <w:jc w:val="both"/>
        <w:rPr>
          <w:rFonts w:ascii="Arial" w:eastAsia="Arial" w:hAnsi="Arial" w:cs="Arial"/>
          <w:sz w:val="22"/>
          <w:szCs w:val="22"/>
        </w:rPr>
      </w:pPr>
      <w:r>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078 de 1987 y demás normas concordantes, se ejerce sobre las personas naturales o jurídicas que desarrollen la actividad de enajenación de vivienda en el Distrito, con el propósito de resguardar el orden social y amparar la observancia de la ley.</w:t>
      </w:r>
    </w:p>
    <w:p w14:paraId="7CDEFB7C" w14:textId="77777777" w:rsidR="006746E7" w:rsidRDefault="006746E7">
      <w:pPr>
        <w:ind w:right="-92"/>
        <w:jc w:val="both"/>
        <w:rPr>
          <w:rFonts w:ascii="Arial" w:eastAsia="Arial" w:hAnsi="Arial" w:cs="Arial"/>
          <w:sz w:val="22"/>
          <w:szCs w:val="22"/>
        </w:rPr>
      </w:pPr>
    </w:p>
    <w:p w14:paraId="1162CAEC" w14:textId="77777777" w:rsidR="006746E7" w:rsidRDefault="00B23247">
      <w:pPr>
        <w:jc w:val="both"/>
        <w:rPr>
          <w:rFonts w:ascii="Arial" w:eastAsia="Arial" w:hAnsi="Arial" w:cs="Arial"/>
          <w:sz w:val="22"/>
          <w:szCs w:val="22"/>
        </w:rPr>
      </w:pPr>
      <w:r>
        <w:rPr>
          <w:rFonts w:ascii="Arial" w:eastAsia="Arial" w:hAnsi="Arial" w:cs="Arial"/>
          <w:sz w:val="22"/>
          <w:szCs w:val="22"/>
        </w:rPr>
        <w:t>Bajo este entendido, el artículo 111 del Decreto 653 de 2025 establece que los hechos relacionados con la existencia de deficiencias constructivas o el desmejoramiento de especificaciones técnicas deberán sancionarse por la Subsecretaría de Inspección, Vigilancia y Control de Vivienda, o por la autoridad que haga sus veces; motivo por el cual, en ejercicio de dichas funciones esta Entidad procedió a imponer sanción mediante la Resolución No. 1818 del 11 de septiembre de 2019, "</w:t>
      </w:r>
      <w:r>
        <w:rPr>
          <w:rFonts w:ascii="Arial" w:eastAsia="Arial" w:hAnsi="Arial" w:cs="Arial"/>
          <w:i/>
          <w:iCs/>
          <w:sz w:val="22"/>
          <w:szCs w:val="22"/>
        </w:rPr>
        <w:t>Por la cual se impone una sanción y se imparte una orden</w:t>
      </w:r>
      <w:r>
        <w:rPr>
          <w:rFonts w:ascii="Arial" w:eastAsia="Arial" w:hAnsi="Arial" w:cs="Arial"/>
          <w:sz w:val="22"/>
          <w:szCs w:val="22"/>
        </w:rPr>
        <w:t>", a la sociedad enajenadora HECHO CONCRETO S.A.S, consistente en multa y orden de hacer, la cual debía ser cumplida dentro del plazo fijado contado a partir de la ejecutoria de esta.</w:t>
      </w:r>
    </w:p>
    <w:p w14:paraId="160F716A" w14:textId="77777777" w:rsidR="006746E7" w:rsidRDefault="006746E7">
      <w:pPr>
        <w:ind w:right="-92"/>
        <w:jc w:val="both"/>
        <w:rPr>
          <w:rFonts w:ascii="Arial" w:eastAsia="Arial" w:hAnsi="Arial" w:cs="Arial"/>
          <w:sz w:val="22"/>
          <w:szCs w:val="22"/>
        </w:rPr>
      </w:pPr>
    </w:p>
    <w:p w14:paraId="697EB364" w14:textId="77777777" w:rsidR="006746E7" w:rsidRDefault="00B23247">
      <w:pPr>
        <w:ind w:right="-92"/>
        <w:jc w:val="both"/>
        <w:rPr>
          <w:rFonts w:ascii="Arial" w:eastAsia="Arial" w:hAnsi="Arial" w:cs="Arial"/>
          <w:sz w:val="22"/>
          <w:szCs w:val="22"/>
        </w:rPr>
      </w:pPr>
      <w:r>
        <w:rPr>
          <w:rFonts w:ascii="Arial" w:eastAsia="Arial" w:hAnsi="Arial" w:cs="Arial"/>
          <w:sz w:val="22"/>
          <w:szCs w:val="22"/>
        </w:rPr>
        <w:t>Ahora bien, el artículo 126 del Decreto 653 de 2025 señala que una vez ejecutoriada la actuación que imponga una orden a los enajenadores responsables del proyecto de vivienda, y superado el término dispuesto para su cumplimiento, se adelantará el SEGUIMIENTO A LA ORDEN para corroborar el cumplimiento del acto administrativo que la impuso.</w:t>
      </w:r>
    </w:p>
    <w:p w14:paraId="3CB4F2E6" w14:textId="77777777" w:rsidR="006746E7" w:rsidRDefault="006746E7">
      <w:pPr>
        <w:ind w:right="-92"/>
        <w:jc w:val="both"/>
        <w:rPr>
          <w:rFonts w:ascii="Arial" w:eastAsia="Arial" w:hAnsi="Arial" w:cs="Arial"/>
          <w:sz w:val="22"/>
          <w:szCs w:val="22"/>
        </w:rPr>
      </w:pPr>
    </w:p>
    <w:p w14:paraId="04D726CB" w14:textId="77777777" w:rsidR="006746E7" w:rsidRDefault="00B23247">
      <w:pPr>
        <w:pBdr>
          <w:top w:val="nil"/>
          <w:left w:val="nil"/>
          <w:bottom w:val="nil"/>
          <w:right w:val="nil"/>
          <w:between w:val="nil"/>
        </w:pBdr>
        <w:ind w:right="-92"/>
        <w:jc w:val="both"/>
        <w:rPr>
          <w:rFonts w:ascii="Arial" w:eastAsia="Arial" w:hAnsi="Arial" w:cs="Arial"/>
          <w:sz w:val="22"/>
          <w:szCs w:val="22"/>
        </w:rPr>
      </w:pPr>
      <w:r>
        <w:rPr>
          <w:rFonts w:ascii="Arial" w:eastAsia="Arial" w:hAnsi="Arial" w:cs="Arial"/>
          <w:sz w:val="22"/>
          <w:szCs w:val="22"/>
        </w:rPr>
        <w:t xml:space="preserve">Visto lo anterior, el artículo 2, numeral 9 del Decreto Nacional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4CF7E6ED" w14:textId="77777777" w:rsidR="006746E7" w:rsidRDefault="006746E7">
      <w:pPr>
        <w:pBdr>
          <w:top w:val="nil"/>
          <w:left w:val="nil"/>
          <w:bottom w:val="nil"/>
          <w:right w:val="nil"/>
          <w:between w:val="nil"/>
        </w:pBdr>
        <w:ind w:left="720" w:right="-92"/>
        <w:jc w:val="both"/>
        <w:rPr>
          <w:rFonts w:ascii="Arial" w:eastAsia="Arial" w:hAnsi="Arial" w:cs="Arial"/>
          <w:sz w:val="22"/>
          <w:szCs w:val="22"/>
        </w:rPr>
      </w:pPr>
    </w:p>
    <w:p w14:paraId="5D63003E" w14:textId="77777777" w:rsidR="006746E7" w:rsidRDefault="00B23247">
      <w:pPr>
        <w:jc w:val="both"/>
        <w:rPr>
          <w:rFonts w:ascii="Arial" w:eastAsia="Arial" w:hAnsi="Arial" w:cs="Arial"/>
          <w:sz w:val="22"/>
          <w:szCs w:val="22"/>
        </w:rPr>
      </w:pPr>
      <w:bookmarkStart w:id="4" w:name="_heading=h.1t3h5sf" w:colFirst="0" w:colLast="0"/>
      <w:bookmarkEnd w:id="4"/>
      <w:r>
        <w:rPr>
          <w:rFonts w:ascii="Arial" w:eastAsia="Arial" w:hAnsi="Arial" w:cs="Arial"/>
          <w:sz w:val="22"/>
          <w:szCs w:val="22"/>
        </w:rPr>
        <w:t>En concordancia con lo expresado, procede este Despacho a realizar el estudio de las actuaciones adelantadas, así como de los elementos probatorios recaudados por esta Dirección, sobre los hechos objeto de las órdenes hacer referentes a la Resolución No. 1818 del 11 de septiembre de 2019, "</w:t>
      </w:r>
      <w:r>
        <w:rPr>
          <w:rFonts w:ascii="Arial" w:eastAsia="Arial" w:hAnsi="Arial" w:cs="Arial"/>
          <w:i/>
          <w:iCs/>
          <w:sz w:val="22"/>
          <w:szCs w:val="22"/>
        </w:rPr>
        <w:t>Por la cual se impone una sanción y se imparte una orden</w:t>
      </w:r>
      <w:r>
        <w:rPr>
          <w:rFonts w:ascii="Arial" w:eastAsia="Arial" w:hAnsi="Arial" w:cs="Arial"/>
          <w:sz w:val="22"/>
          <w:szCs w:val="22"/>
        </w:rPr>
        <w:t>".</w:t>
      </w:r>
    </w:p>
    <w:p w14:paraId="3A0D24D0" w14:textId="77777777" w:rsidR="006746E7" w:rsidRDefault="006746E7">
      <w:pPr>
        <w:jc w:val="both"/>
        <w:rPr>
          <w:rFonts w:ascii="Arial" w:eastAsia="Arial" w:hAnsi="Arial" w:cs="Arial"/>
          <w:sz w:val="22"/>
          <w:szCs w:val="22"/>
        </w:rPr>
      </w:pPr>
    </w:p>
    <w:p w14:paraId="254A14AF" w14:textId="77777777" w:rsidR="006746E7" w:rsidRDefault="00B23247">
      <w:pPr>
        <w:widowControl w:val="0"/>
        <w:jc w:val="center"/>
        <w:rPr>
          <w:rFonts w:ascii="Arial" w:eastAsia="Arial" w:hAnsi="Arial" w:cs="Arial"/>
          <w:b/>
          <w:bCs/>
          <w:sz w:val="22"/>
          <w:szCs w:val="22"/>
        </w:rPr>
      </w:pPr>
      <w:r>
        <w:rPr>
          <w:rFonts w:ascii="Arial" w:eastAsia="Arial" w:hAnsi="Arial" w:cs="Arial"/>
          <w:b/>
          <w:bCs/>
          <w:sz w:val="22"/>
          <w:szCs w:val="22"/>
        </w:rPr>
        <w:t>ANÁLISIS PROBATORIO</w:t>
      </w:r>
    </w:p>
    <w:p w14:paraId="26083E3D" w14:textId="77777777" w:rsidR="006746E7" w:rsidRDefault="006746E7">
      <w:pPr>
        <w:ind w:right="50"/>
        <w:jc w:val="both"/>
        <w:rPr>
          <w:rFonts w:ascii="Arial" w:eastAsia="Arial" w:hAnsi="Arial" w:cs="Arial"/>
          <w:sz w:val="22"/>
          <w:szCs w:val="22"/>
        </w:rPr>
      </w:pPr>
    </w:p>
    <w:p w14:paraId="25487AA3" w14:textId="77777777" w:rsidR="006746E7" w:rsidRDefault="00B23247">
      <w:pPr>
        <w:ind w:right="50"/>
        <w:jc w:val="both"/>
        <w:rPr>
          <w:rFonts w:ascii="Arial" w:eastAsia="Arial" w:hAnsi="Arial" w:cs="Arial"/>
          <w:sz w:val="22"/>
          <w:szCs w:val="22"/>
        </w:rPr>
      </w:pPr>
      <w:r>
        <w:rPr>
          <w:rFonts w:ascii="Arial" w:eastAsia="Arial" w:hAnsi="Arial" w:cs="Arial"/>
          <w:sz w:val="22"/>
          <w:szCs w:val="22"/>
        </w:rPr>
        <w:t xml:space="preserve">Dentro de la actuación administrativa y las pruebas que reposan en el expediente, se tiene que la sociedad enajenadora HECHO CONCRETO S.A.S, contaba con un término de </w:t>
      </w:r>
      <w:r>
        <w:rPr>
          <w:rFonts w:ascii="Arial" w:eastAsia="Arial" w:hAnsi="Arial" w:cs="Arial"/>
          <w:sz w:val="22"/>
          <w:szCs w:val="22"/>
        </w:rPr>
        <w:lastRenderedPageBreak/>
        <w:t>cuatro (4) meses (calendario) siguientes a la ejecutoria del acto administrativo objeto de la orden, para realizar los trabajos tendientes a solucionar en forma definitiva los hechos que afectan las zonas privadas del apartamento 701 del proyecto de vivienda EDIFICIO ARTE SÓLIDO 62.</w:t>
      </w:r>
    </w:p>
    <w:p w14:paraId="689575D6" w14:textId="77777777" w:rsidR="006746E7" w:rsidRDefault="006746E7">
      <w:pPr>
        <w:ind w:right="50"/>
        <w:jc w:val="both"/>
        <w:rPr>
          <w:rFonts w:ascii="Arial" w:eastAsia="Arial" w:hAnsi="Arial" w:cs="Arial"/>
          <w:i/>
          <w:iCs/>
          <w:sz w:val="22"/>
          <w:szCs w:val="22"/>
        </w:rPr>
      </w:pPr>
    </w:p>
    <w:p w14:paraId="48D67C8A" w14:textId="77777777" w:rsidR="006746E7" w:rsidRDefault="00B23247">
      <w:pPr>
        <w:jc w:val="both"/>
        <w:rPr>
          <w:rFonts w:ascii="Arial" w:eastAsia="Arial" w:hAnsi="Arial" w:cs="Arial"/>
          <w:sz w:val="22"/>
          <w:szCs w:val="22"/>
        </w:rPr>
      </w:pPr>
      <w:r>
        <w:rPr>
          <w:rFonts w:ascii="Arial" w:eastAsia="Arial" w:hAnsi="Arial" w:cs="Arial"/>
          <w:sz w:val="22"/>
          <w:szCs w:val="22"/>
        </w:rPr>
        <w:t>Así mismo, se tiene que la sociedad enajenadora tenía un plazo de 10 días, siguientes al cumplimiento del término otorgado para el cumplimiento de la orden de hacer, para acreditar ante este Despacho la realización de las labores de corrección sobre los citados hechos, tal como lo dispone el artículo tercero de la Resolución No. 1818 del 11 de septiembre de 2019.</w:t>
      </w:r>
    </w:p>
    <w:p w14:paraId="6774A641" w14:textId="77777777" w:rsidR="006746E7" w:rsidRDefault="006746E7">
      <w:pPr>
        <w:jc w:val="both"/>
        <w:rPr>
          <w:rFonts w:ascii="Arial" w:eastAsia="Arial" w:hAnsi="Arial" w:cs="Arial"/>
          <w:sz w:val="22"/>
          <w:szCs w:val="22"/>
          <w:highlight w:val="white"/>
        </w:rPr>
      </w:pPr>
    </w:p>
    <w:p w14:paraId="011AE994" w14:textId="77777777" w:rsidR="006746E7" w:rsidRDefault="00B23247">
      <w:pPr>
        <w:jc w:val="both"/>
        <w:rPr>
          <w:rFonts w:ascii="Arial" w:eastAsia="Arial" w:hAnsi="Arial" w:cs="Arial"/>
          <w:sz w:val="22"/>
          <w:szCs w:val="22"/>
        </w:rPr>
      </w:pPr>
      <w:r>
        <w:rPr>
          <w:rFonts w:ascii="Arial" w:eastAsia="Arial" w:hAnsi="Arial" w:cs="Arial"/>
          <w:sz w:val="22"/>
          <w:szCs w:val="22"/>
        </w:rPr>
        <w:t>Revisado el material probatorio allegado y lo mencionado por las partes intervinientes, se evidencia que se realizaron algunas obras, no obstante, las mismas no fueron suficientes para subsanar los hechos objeto de la orden de hacer.</w:t>
      </w:r>
    </w:p>
    <w:p w14:paraId="007F7DB4" w14:textId="77777777" w:rsidR="006746E7" w:rsidRDefault="006746E7">
      <w:pPr>
        <w:jc w:val="both"/>
        <w:rPr>
          <w:rFonts w:ascii="Arial" w:eastAsia="Arial" w:hAnsi="Arial" w:cs="Arial"/>
          <w:sz w:val="22"/>
          <w:szCs w:val="22"/>
        </w:rPr>
      </w:pPr>
    </w:p>
    <w:p w14:paraId="360618F1" w14:textId="77777777" w:rsidR="006746E7" w:rsidRDefault="00B23247">
      <w:pPr>
        <w:ind w:right="-92"/>
        <w:jc w:val="both"/>
        <w:rPr>
          <w:rFonts w:ascii="Arial" w:eastAsia="Arial" w:hAnsi="Arial" w:cs="Arial"/>
          <w:sz w:val="22"/>
          <w:szCs w:val="22"/>
        </w:rPr>
      </w:pPr>
      <w:r>
        <w:rPr>
          <w:rFonts w:ascii="Arial" w:hAnsi="Arial" w:cs="Arial"/>
          <w:sz w:val="22"/>
          <w:szCs w:val="22"/>
          <w:shd w:val="clear" w:color="auto" w:fill="FFFFFF"/>
        </w:rPr>
        <w:t xml:space="preserve">Lo anterior encuentra sustento en </w:t>
      </w:r>
      <w:r>
        <w:rPr>
          <w:rFonts w:ascii="Arial" w:eastAsia="Arial" w:hAnsi="Arial" w:cs="Arial"/>
          <w:sz w:val="22"/>
          <w:szCs w:val="22"/>
          <w:lang w:val="es-CO"/>
        </w:rPr>
        <w:t xml:space="preserve">el Informe de Verificación de Hechos </w:t>
      </w:r>
      <w:r>
        <w:rPr>
          <w:rFonts w:ascii="Arial" w:eastAsia="Arial" w:hAnsi="Arial" w:cs="Arial"/>
          <w:sz w:val="22"/>
          <w:szCs w:val="22"/>
        </w:rPr>
        <w:t xml:space="preserve">No 24-619 del 17 de diciembre de 2024, </w:t>
      </w:r>
      <w:r>
        <w:rPr>
          <w:rFonts w:ascii="Arial" w:eastAsia="Arial" w:hAnsi="Arial" w:cs="Arial"/>
          <w:sz w:val="22"/>
          <w:szCs w:val="22"/>
          <w:lang w:val="es-CO"/>
        </w:rPr>
        <w:t>que evidenció lo siguiente</w:t>
      </w:r>
      <w:r>
        <w:rPr>
          <w:rFonts w:ascii="Arial" w:eastAsia="Arial" w:hAnsi="Arial" w:cs="Arial"/>
          <w:sz w:val="22"/>
          <w:szCs w:val="22"/>
        </w:rPr>
        <w:t xml:space="preserve">: </w:t>
      </w:r>
    </w:p>
    <w:p w14:paraId="22F79D85" w14:textId="77777777" w:rsidR="006746E7" w:rsidRDefault="006746E7">
      <w:pPr>
        <w:ind w:right="-92"/>
        <w:jc w:val="both"/>
        <w:rPr>
          <w:rFonts w:ascii="Arial" w:eastAsia="Arial" w:hAnsi="Arial" w:cs="Arial"/>
          <w:color w:val="FFC000"/>
          <w:sz w:val="22"/>
          <w:szCs w:val="22"/>
        </w:rPr>
      </w:pPr>
    </w:p>
    <w:p w14:paraId="7D274A93" w14:textId="77777777" w:rsidR="00FE0096" w:rsidRPr="008241DF" w:rsidRDefault="00FE0096" w:rsidP="00FE0096">
      <w:pPr>
        <w:ind w:right="-92"/>
        <w:jc w:val="center"/>
        <w:rPr>
          <w:rFonts w:ascii="Arial" w:eastAsia="Arial" w:hAnsi="Arial" w:cs="Arial"/>
          <w:i/>
          <w:iCs/>
          <w:sz w:val="22"/>
          <w:szCs w:val="22"/>
        </w:rPr>
      </w:pPr>
      <w:r w:rsidRPr="008241DF">
        <w:rPr>
          <w:rFonts w:ascii="Arial" w:eastAsia="Arial" w:hAnsi="Arial" w:cs="Arial"/>
          <w:i/>
          <w:iCs/>
          <w:sz w:val="22"/>
          <w:szCs w:val="22"/>
        </w:rPr>
        <w:t>HALLAZGOS:</w:t>
      </w:r>
    </w:p>
    <w:p w14:paraId="6764F272" w14:textId="77777777" w:rsidR="00FE0096" w:rsidRPr="008241DF" w:rsidRDefault="00FE0096" w:rsidP="00FE0096">
      <w:pPr>
        <w:ind w:right="-92"/>
        <w:jc w:val="both"/>
        <w:rPr>
          <w:rFonts w:ascii="Arial" w:eastAsia="Arial" w:hAnsi="Arial" w:cs="Arial"/>
          <w:i/>
          <w:iCs/>
          <w:sz w:val="22"/>
          <w:szCs w:val="22"/>
        </w:rPr>
      </w:pPr>
    </w:p>
    <w:p w14:paraId="26B5E1CC" w14:textId="77777777" w:rsidR="00FE0096" w:rsidRPr="008241DF" w:rsidRDefault="00FE0096" w:rsidP="00FE0096">
      <w:pPr>
        <w:ind w:left="340" w:right="340"/>
        <w:jc w:val="both"/>
        <w:rPr>
          <w:rFonts w:ascii="Arial" w:eastAsia="Arial" w:hAnsi="Arial" w:cs="Arial"/>
          <w:b/>
          <w:bCs/>
          <w:i/>
          <w:iCs/>
          <w:sz w:val="22"/>
          <w:szCs w:val="22"/>
        </w:rPr>
      </w:pPr>
      <w:r w:rsidRPr="008241DF">
        <w:rPr>
          <w:rFonts w:ascii="Arial" w:eastAsia="Arial" w:hAnsi="Arial" w:cs="Arial"/>
          <w:i/>
          <w:iCs/>
          <w:sz w:val="22"/>
          <w:szCs w:val="22"/>
        </w:rPr>
        <w:t>“</w:t>
      </w:r>
      <w:r w:rsidRPr="008241DF">
        <w:rPr>
          <w:rFonts w:ascii="Arial" w:eastAsia="Arial" w:hAnsi="Arial" w:cs="Arial"/>
          <w:b/>
          <w:bCs/>
          <w:i/>
          <w:iCs/>
          <w:sz w:val="22"/>
          <w:szCs w:val="22"/>
        </w:rPr>
        <w:t>1. Dilataciones en el piso de madera</w:t>
      </w:r>
    </w:p>
    <w:p w14:paraId="2AA4158B" w14:textId="77777777" w:rsidR="00FE0096" w:rsidRPr="008241DF" w:rsidRDefault="00FE0096" w:rsidP="00FE0096">
      <w:pPr>
        <w:ind w:left="340" w:right="340"/>
        <w:jc w:val="both"/>
        <w:rPr>
          <w:rFonts w:ascii="Arial" w:eastAsia="Arial" w:hAnsi="Arial" w:cs="Arial"/>
          <w:b/>
          <w:bCs/>
          <w:i/>
          <w:iCs/>
          <w:sz w:val="22"/>
          <w:szCs w:val="22"/>
        </w:rPr>
      </w:pPr>
    </w:p>
    <w:p w14:paraId="73DB4571" w14:textId="77777777" w:rsidR="00FE0096" w:rsidRPr="008241DF" w:rsidRDefault="00FE0096" w:rsidP="00FE0096">
      <w:pPr>
        <w:ind w:left="340" w:right="340"/>
        <w:jc w:val="both"/>
        <w:rPr>
          <w:rFonts w:ascii="Arial" w:eastAsia="Arial" w:hAnsi="Arial" w:cs="Arial"/>
          <w:i/>
          <w:iCs/>
          <w:sz w:val="22"/>
          <w:szCs w:val="22"/>
        </w:rPr>
      </w:pPr>
      <w:r w:rsidRPr="008241DF">
        <w:rPr>
          <w:rFonts w:ascii="Arial" w:eastAsia="Arial" w:hAnsi="Arial" w:cs="Arial"/>
          <w:i/>
          <w:iCs/>
          <w:sz w:val="22"/>
          <w:szCs w:val="22"/>
        </w:rPr>
        <w:t>El enajenador comenta que el hecho ya fue subsanado y porta un documento como muestra que ya fue entregado el arreglo el día 11 de marzo de 2022 (ver imágenes 1 y 2) donde firmaron las dos partes; pero seguido a ello la propietaria del apartamento muestra un radico que presento ante Secretaria Distrital de Hábitat mencionando que ella firmo esa acta al sentirse intimidada por el enajenador y el trabajador del mismo, ya que, si no firmaba, le dijeron que reportaría a Hábitat (ver imágenes 3 y 4), ella firmo sin estar de acuerdo y cuando terminaron el trabajo su resultado no fue satisfactorio.</w:t>
      </w:r>
    </w:p>
    <w:p w14:paraId="3E03F8FC" w14:textId="77777777" w:rsidR="00FE0096" w:rsidRPr="008241DF" w:rsidRDefault="00FE0096" w:rsidP="00FE0096">
      <w:pPr>
        <w:ind w:left="340" w:right="340"/>
        <w:jc w:val="both"/>
        <w:rPr>
          <w:rFonts w:ascii="Arial" w:eastAsia="Arial" w:hAnsi="Arial" w:cs="Arial"/>
          <w:i/>
          <w:iCs/>
          <w:sz w:val="22"/>
          <w:szCs w:val="22"/>
        </w:rPr>
      </w:pPr>
    </w:p>
    <w:p w14:paraId="3973BBFB" w14:textId="77777777" w:rsidR="00FE0096" w:rsidRPr="008241DF" w:rsidRDefault="00FE0096" w:rsidP="00FE0096">
      <w:pPr>
        <w:ind w:left="340" w:right="340"/>
        <w:jc w:val="both"/>
        <w:rPr>
          <w:rFonts w:ascii="Arial" w:eastAsia="Arial" w:hAnsi="Arial" w:cs="Arial"/>
          <w:i/>
          <w:iCs/>
          <w:sz w:val="22"/>
          <w:szCs w:val="22"/>
        </w:rPr>
      </w:pPr>
      <w:r w:rsidRPr="008241DF">
        <w:rPr>
          <w:rFonts w:ascii="Arial" w:eastAsia="Arial" w:hAnsi="Arial" w:cs="Arial"/>
          <w:i/>
          <w:iCs/>
          <w:sz w:val="22"/>
          <w:szCs w:val="22"/>
        </w:rPr>
        <w:t>Posterior a ello se verifican los arreglos realizados en el 2022 lo que se evidencia es que una de las zonas afectadas, fue subsanada a satisfacción (ver imagen 5), pero el trabajo realizado en la salida al balcón del apartamento, si se observa que no hubo una adecuada instalación del piso laminado ya que se observan unas dilataciones entre lámina y lámina, no todo quedo al mismo nivel, se presentan unas puntas más salientes (ver imágenes 6 a la 9).</w:t>
      </w:r>
    </w:p>
    <w:p w14:paraId="27FF5D42" w14:textId="77777777" w:rsidR="00FE0096" w:rsidRPr="008241DF" w:rsidRDefault="00FE0096" w:rsidP="00FE0096">
      <w:pPr>
        <w:ind w:left="340" w:right="340"/>
        <w:jc w:val="both"/>
        <w:rPr>
          <w:rFonts w:ascii="Arial" w:eastAsia="Arial" w:hAnsi="Arial" w:cs="Arial"/>
          <w:i/>
          <w:iCs/>
          <w:sz w:val="22"/>
          <w:szCs w:val="22"/>
        </w:rPr>
      </w:pPr>
    </w:p>
    <w:p w14:paraId="0AA974FC" w14:textId="77777777" w:rsidR="00FE0096" w:rsidRPr="008241DF" w:rsidRDefault="00FE0096" w:rsidP="00FE0096">
      <w:pPr>
        <w:ind w:left="340" w:right="340"/>
        <w:jc w:val="both"/>
        <w:rPr>
          <w:rFonts w:ascii="Arial" w:eastAsia="Arial" w:hAnsi="Arial" w:cs="Arial"/>
          <w:i/>
          <w:iCs/>
          <w:sz w:val="22"/>
          <w:szCs w:val="22"/>
        </w:rPr>
      </w:pPr>
      <w:r w:rsidRPr="008241DF">
        <w:rPr>
          <w:rFonts w:ascii="Arial" w:eastAsia="Arial" w:hAnsi="Arial" w:cs="Arial"/>
          <w:i/>
          <w:iCs/>
          <w:sz w:val="22"/>
          <w:szCs w:val="22"/>
          <w:u w:val="single"/>
        </w:rPr>
        <w:t xml:space="preserve">Por lo anterior el hecho </w:t>
      </w:r>
      <w:r w:rsidRPr="008241DF">
        <w:rPr>
          <w:rFonts w:ascii="Arial" w:eastAsia="Arial" w:hAnsi="Arial" w:cs="Arial"/>
          <w:b/>
          <w:bCs/>
          <w:i/>
          <w:iCs/>
          <w:sz w:val="22"/>
          <w:szCs w:val="22"/>
          <w:u w:val="single"/>
        </w:rPr>
        <w:t>PERSISTE</w:t>
      </w:r>
      <w:r w:rsidRPr="008241DF">
        <w:rPr>
          <w:rFonts w:ascii="Arial" w:eastAsia="Arial" w:hAnsi="Arial" w:cs="Arial"/>
          <w:i/>
          <w:iCs/>
          <w:sz w:val="22"/>
          <w:szCs w:val="22"/>
          <w:u w:val="single"/>
        </w:rPr>
        <w:t>, va que a pesar que el enajenador realizó trabajos para que fueran subsanados los hechos, en la zona que corresponde a la salida del balcón, dicha instalación no se entrega con acabados satisfactorios</w:t>
      </w:r>
      <w:r w:rsidRPr="008241DF">
        <w:rPr>
          <w:rFonts w:ascii="Arial" w:eastAsia="Arial" w:hAnsi="Arial" w:cs="Arial"/>
          <w:i/>
          <w:iCs/>
          <w:sz w:val="22"/>
          <w:szCs w:val="22"/>
        </w:rPr>
        <w:t>.</w:t>
      </w:r>
    </w:p>
    <w:p w14:paraId="21F9B061" w14:textId="77777777" w:rsidR="00FE0096" w:rsidRPr="00FE0096" w:rsidRDefault="00FE0096" w:rsidP="00FE0096">
      <w:pPr>
        <w:ind w:left="340" w:right="340"/>
        <w:jc w:val="both"/>
        <w:rPr>
          <w:rFonts w:ascii="Arial" w:eastAsia="Arial" w:hAnsi="Arial" w:cs="Arial"/>
          <w:i/>
          <w:iCs/>
          <w:sz w:val="22"/>
          <w:szCs w:val="22"/>
        </w:rPr>
      </w:pPr>
    </w:p>
    <w:p w14:paraId="02F041FF" w14:textId="77777777" w:rsidR="00FE0096" w:rsidRPr="00FE0096" w:rsidRDefault="00FE0096" w:rsidP="00FE0096">
      <w:pPr>
        <w:ind w:left="340" w:right="340"/>
        <w:jc w:val="both"/>
        <w:rPr>
          <w:rFonts w:ascii="Arial" w:eastAsia="Arial" w:hAnsi="Arial" w:cs="Arial"/>
          <w:b/>
          <w:bCs/>
          <w:i/>
          <w:iCs/>
          <w:sz w:val="22"/>
          <w:szCs w:val="22"/>
        </w:rPr>
      </w:pPr>
      <w:r w:rsidRPr="00FE0096">
        <w:rPr>
          <w:rFonts w:ascii="Arial" w:eastAsia="Arial" w:hAnsi="Arial" w:cs="Arial"/>
          <w:b/>
          <w:bCs/>
          <w:i/>
          <w:iCs/>
          <w:sz w:val="22"/>
          <w:szCs w:val="22"/>
        </w:rPr>
        <w:t>3. "Humedad en el cielo raso del baño de la zona social y mamposteria de la</w:t>
      </w:r>
    </w:p>
    <w:p w14:paraId="5620956C" w14:textId="77777777" w:rsidR="00FE0096" w:rsidRPr="00FE0096" w:rsidRDefault="00FE0096" w:rsidP="00FE0096">
      <w:pPr>
        <w:ind w:left="340" w:right="340"/>
        <w:jc w:val="both"/>
        <w:rPr>
          <w:rFonts w:ascii="Arial" w:eastAsia="Arial" w:hAnsi="Arial" w:cs="Arial"/>
          <w:b/>
          <w:bCs/>
          <w:i/>
          <w:iCs/>
          <w:sz w:val="22"/>
          <w:szCs w:val="22"/>
        </w:rPr>
      </w:pPr>
      <w:r w:rsidRPr="00FE0096">
        <w:rPr>
          <w:rFonts w:ascii="Arial" w:eastAsia="Arial" w:hAnsi="Arial" w:cs="Arial"/>
          <w:b/>
          <w:bCs/>
          <w:i/>
          <w:iCs/>
          <w:sz w:val="22"/>
          <w:szCs w:val="22"/>
        </w:rPr>
        <w:t>jachada manchada".</w:t>
      </w:r>
    </w:p>
    <w:p w14:paraId="1F4B23C4" w14:textId="77777777" w:rsidR="00FE0096" w:rsidRPr="00FE0096" w:rsidRDefault="00FE0096" w:rsidP="00FE0096">
      <w:pPr>
        <w:ind w:left="340" w:right="340"/>
        <w:jc w:val="both"/>
        <w:rPr>
          <w:rFonts w:ascii="Arial" w:eastAsia="Arial" w:hAnsi="Arial" w:cs="Arial"/>
          <w:b/>
          <w:bCs/>
          <w:i/>
          <w:iCs/>
          <w:sz w:val="22"/>
          <w:szCs w:val="22"/>
        </w:rPr>
      </w:pPr>
      <w:r w:rsidRPr="00FE0096">
        <w:rPr>
          <w:rFonts w:ascii="Arial" w:eastAsia="Arial" w:hAnsi="Arial" w:cs="Arial"/>
          <w:b/>
          <w:bCs/>
          <w:i/>
          <w:iCs/>
          <w:sz w:val="22"/>
          <w:szCs w:val="22"/>
        </w:rPr>
        <w:lastRenderedPageBreak/>
        <w:t>3.1. Cielo raso del baño social</w:t>
      </w:r>
    </w:p>
    <w:p w14:paraId="20A7D632" w14:textId="77777777" w:rsidR="00FE0096" w:rsidRPr="00FE0096" w:rsidRDefault="00FE0096" w:rsidP="00FE0096">
      <w:pPr>
        <w:ind w:left="340" w:right="340"/>
        <w:jc w:val="both"/>
        <w:rPr>
          <w:rFonts w:ascii="Arial" w:eastAsia="Arial" w:hAnsi="Arial" w:cs="Arial"/>
          <w:i/>
          <w:iCs/>
          <w:sz w:val="22"/>
          <w:szCs w:val="22"/>
        </w:rPr>
      </w:pPr>
    </w:p>
    <w:p w14:paraId="61D0F449" w14:textId="77777777" w:rsidR="00FE0096" w:rsidRPr="00FE0096" w:rsidRDefault="00FE0096" w:rsidP="00FE0096">
      <w:pPr>
        <w:ind w:left="340" w:right="340"/>
        <w:jc w:val="both"/>
        <w:rPr>
          <w:rFonts w:ascii="Arial" w:eastAsia="Arial" w:hAnsi="Arial" w:cs="Arial"/>
          <w:i/>
          <w:iCs/>
          <w:sz w:val="22"/>
          <w:szCs w:val="22"/>
        </w:rPr>
      </w:pPr>
      <w:r w:rsidRPr="00FE0096">
        <w:rPr>
          <w:rFonts w:ascii="Arial" w:eastAsia="Arial" w:hAnsi="Arial" w:cs="Arial"/>
          <w:i/>
          <w:iCs/>
          <w:sz w:val="22"/>
          <w:szCs w:val="22"/>
        </w:rPr>
        <w:t>El día de la visita no se puede hacer recorrido al apartamento que se encuentra arriba del 701, entonces se desconoce si efectivamente lo que enuncia el documento aportado fue subsanado. Independientemente de esto, como mencione iniciando este punto, cualquier acuerdo que hayan hecho de inter partes entre el enajenador y el propietario del apartamento del piso 8, se desconoce y la Resolución No. 1818 del 11 de septiembre de 2019 a quien sanciona es a la sociedad enajenadora.</w:t>
      </w:r>
    </w:p>
    <w:p w14:paraId="2838703C" w14:textId="77777777" w:rsidR="00FE0096" w:rsidRPr="00FE0096" w:rsidRDefault="00FE0096" w:rsidP="00FE0096">
      <w:pPr>
        <w:ind w:left="340" w:right="340"/>
        <w:jc w:val="both"/>
        <w:rPr>
          <w:rFonts w:ascii="Arial" w:eastAsia="Arial" w:hAnsi="Arial" w:cs="Arial"/>
          <w:i/>
          <w:iCs/>
          <w:sz w:val="22"/>
          <w:szCs w:val="22"/>
          <w:u w:val="single"/>
        </w:rPr>
      </w:pPr>
      <w:r w:rsidRPr="00FE0096">
        <w:rPr>
          <w:rFonts w:ascii="Arial" w:eastAsia="Arial" w:hAnsi="Arial" w:cs="Arial"/>
          <w:i/>
          <w:iCs/>
          <w:sz w:val="22"/>
          <w:szCs w:val="22"/>
          <w:u w:val="single"/>
        </w:rPr>
        <w:t xml:space="preserve">Por lo anterior el hecho </w:t>
      </w:r>
      <w:r w:rsidRPr="00FE0096">
        <w:rPr>
          <w:rFonts w:ascii="Arial" w:eastAsia="Arial" w:hAnsi="Arial" w:cs="Arial"/>
          <w:b/>
          <w:bCs/>
          <w:i/>
          <w:iCs/>
          <w:sz w:val="22"/>
          <w:szCs w:val="22"/>
          <w:u w:val="single"/>
        </w:rPr>
        <w:t>PERSISTE</w:t>
      </w:r>
      <w:r w:rsidRPr="00FE0096">
        <w:rPr>
          <w:rFonts w:ascii="Arial" w:eastAsia="Arial" w:hAnsi="Arial" w:cs="Arial"/>
          <w:i/>
          <w:iCs/>
          <w:sz w:val="22"/>
          <w:szCs w:val="22"/>
          <w:u w:val="single"/>
        </w:rPr>
        <w:t>.</w:t>
      </w:r>
    </w:p>
    <w:p w14:paraId="18366DDD" w14:textId="77777777" w:rsidR="00FE0096" w:rsidRPr="00FE0096" w:rsidRDefault="00FE0096" w:rsidP="00FE0096">
      <w:pPr>
        <w:ind w:left="340" w:right="340"/>
        <w:jc w:val="both"/>
        <w:rPr>
          <w:rFonts w:ascii="Arial" w:eastAsia="Arial" w:hAnsi="Arial" w:cs="Arial"/>
          <w:i/>
          <w:iCs/>
          <w:sz w:val="22"/>
          <w:szCs w:val="22"/>
        </w:rPr>
      </w:pPr>
    </w:p>
    <w:p w14:paraId="7B21765F" w14:textId="77777777" w:rsidR="00FE0096" w:rsidRPr="00FE0096" w:rsidRDefault="00FE0096" w:rsidP="00FE0096">
      <w:pPr>
        <w:ind w:left="340" w:right="340"/>
        <w:jc w:val="both"/>
        <w:rPr>
          <w:rFonts w:ascii="Arial" w:eastAsia="Arial" w:hAnsi="Arial" w:cs="Arial"/>
          <w:b/>
          <w:bCs/>
          <w:i/>
          <w:iCs/>
          <w:sz w:val="22"/>
          <w:szCs w:val="22"/>
        </w:rPr>
      </w:pPr>
      <w:r w:rsidRPr="00FE0096">
        <w:rPr>
          <w:rFonts w:ascii="Arial" w:eastAsia="Arial" w:hAnsi="Arial" w:cs="Arial"/>
          <w:b/>
          <w:bCs/>
          <w:i/>
          <w:iCs/>
          <w:sz w:val="22"/>
          <w:szCs w:val="22"/>
        </w:rPr>
        <w:t>3.2. Mampostería de la fachada manchada</w:t>
      </w:r>
    </w:p>
    <w:p w14:paraId="4DC71877" w14:textId="77777777" w:rsidR="00FE0096" w:rsidRPr="00FE0096" w:rsidRDefault="00FE0096" w:rsidP="00FE0096">
      <w:pPr>
        <w:ind w:left="340" w:right="340"/>
        <w:jc w:val="both"/>
        <w:rPr>
          <w:rFonts w:ascii="Arial" w:eastAsia="Arial" w:hAnsi="Arial" w:cs="Arial"/>
          <w:i/>
          <w:iCs/>
          <w:sz w:val="22"/>
          <w:szCs w:val="22"/>
        </w:rPr>
      </w:pPr>
      <w:r w:rsidRPr="00FE0096">
        <w:rPr>
          <w:rFonts w:ascii="Arial" w:eastAsia="Arial" w:hAnsi="Arial" w:cs="Arial"/>
          <w:i/>
          <w:iCs/>
          <w:sz w:val="22"/>
          <w:szCs w:val="22"/>
        </w:rPr>
        <w:t>Respecto a este punto, el enajenador en la vista no menciona que se haya realizado algún arreglo. En la visita se evidencia que el hecho persiste.</w:t>
      </w:r>
    </w:p>
    <w:p w14:paraId="6A02741B" w14:textId="77777777" w:rsidR="00FE0096" w:rsidRPr="00FE0096" w:rsidRDefault="00FE0096" w:rsidP="00FE0096">
      <w:pPr>
        <w:ind w:left="340" w:right="340"/>
        <w:jc w:val="both"/>
        <w:rPr>
          <w:rFonts w:ascii="Arial" w:eastAsia="Arial" w:hAnsi="Arial" w:cs="Arial"/>
          <w:i/>
          <w:iCs/>
          <w:sz w:val="22"/>
          <w:szCs w:val="22"/>
        </w:rPr>
      </w:pPr>
      <w:r w:rsidRPr="00FE0096">
        <w:rPr>
          <w:rFonts w:ascii="Arial" w:eastAsia="Arial" w:hAnsi="Arial" w:cs="Arial"/>
          <w:b/>
          <w:bCs/>
          <w:i/>
          <w:iCs/>
          <w:sz w:val="22"/>
          <w:szCs w:val="22"/>
          <w:u w:val="single"/>
        </w:rPr>
        <w:t>Por lo anterior el hecho PERSISTE</w:t>
      </w:r>
      <w:r w:rsidRPr="00FE0096">
        <w:rPr>
          <w:rFonts w:ascii="Arial" w:eastAsia="Arial" w:hAnsi="Arial" w:cs="Arial"/>
          <w:i/>
          <w:iCs/>
          <w:sz w:val="22"/>
          <w:szCs w:val="22"/>
        </w:rPr>
        <w:t>.”</w:t>
      </w:r>
    </w:p>
    <w:p w14:paraId="6E83009F" w14:textId="002EE9CA" w:rsidR="006746E7" w:rsidRDefault="006746E7" w:rsidP="00B9372E">
      <w:pPr>
        <w:ind w:right="340"/>
        <w:jc w:val="both"/>
        <w:rPr>
          <w:rFonts w:ascii="Arial" w:eastAsia="Arial" w:hAnsi="Arial" w:cs="Arial"/>
          <w:b/>
          <w:bCs/>
          <w:i/>
          <w:iCs/>
          <w:sz w:val="22"/>
          <w:szCs w:val="22"/>
        </w:rPr>
      </w:pPr>
    </w:p>
    <w:p w14:paraId="32BBC0A2" w14:textId="77777777" w:rsidR="006746E7" w:rsidRDefault="006746E7">
      <w:pPr>
        <w:jc w:val="both"/>
        <w:rPr>
          <w:rFonts w:ascii="Arial" w:eastAsia="Arial" w:hAnsi="Arial" w:cs="Arial"/>
          <w:sz w:val="22"/>
          <w:szCs w:val="22"/>
        </w:rPr>
      </w:pPr>
    </w:p>
    <w:p w14:paraId="06AB4A62" w14:textId="2D938164" w:rsidR="00D82889" w:rsidRDefault="00D82889">
      <w:pPr>
        <w:jc w:val="both"/>
        <w:rPr>
          <w:rFonts w:ascii="Arial" w:eastAsia="Arial" w:hAnsi="Arial" w:cs="Arial"/>
          <w:sz w:val="22"/>
          <w:szCs w:val="22"/>
        </w:rPr>
      </w:pPr>
      <w:r>
        <w:rPr>
          <w:rFonts w:ascii="Arial" w:eastAsia="Arial" w:hAnsi="Arial" w:cs="Arial"/>
          <w:sz w:val="22"/>
          <w:szCs w:val="22"/>
        </w:rPr>
        <w:t xml:space="preserve">De lo anterior es claro que el informe de verificación de hechos 24-619 del 17 de diciembre de 2024, desvirtuó todo lo mencionado por la sancionada, en el entendido que todos lo hechos aun persiste o se subsanaron de maneral definitiva. </w:t>
      </w:r>
    </w:p>
    <w:p w14:paraId="3F45D8F2" w14:textId="77777777" w:rsidR="00D82889" w:rsidRDefault="00D82889">
      <w:pPr>
        <w:jc w:val="both"/>
        <w:rPr>
          <w:rFonts w:ascii="Arial" w:eastAsia="Arial" w:hAnsi="Arial" w:cs="Arial"/>
          <w:sz w:val="22"/>
          <w:szCs w:val="22"/>
        </w:rPr>
      </w:pPr>
    </w:p>
    <w:p w14:paraId="67D9DDD7" w14:textId="22392E20" w:rsidR="006746E7" w:rsidRDefault="00B23247">
      <w:pPr>
        <w:jc w:val="both"/>
        <w:rPr>
          <w:rFonts w:ascii="Arial" w:eastAsia="Arial" w:hAnsi="Arial" w:cs="Arial"/>
          <w:sz w:val="22"/>
          <w:szCs w:val="22"/>
        </w:rPr>
      </w:pPr>
      <w:r>
        <w:rPr>
          <w:rFonts w:ascii="Arial" w:eastAsia="Arial" w:hAnsi="Arial" w:cs="Arial"/>
          <w:sz w:val="22"/>
          <w:szCs w:val="22"/>
        </w:rPr>
        <w:t>De esta manera, se puede concluir que a la fecha no ha sido subsanada o en su defecto se ha probado el cumplimiento de la obligación de hacer, impuesta en la Resolución No. 1818 del 11 de septiembre de 2019 a la sociedad enajenadora en mención, así como tampoco se ha demostrado que el quejoso o interesados hayan impedido la realización de las obras ordenadas.</w:t>
      </w:r>
    </w:p>
    <w:p w14:paraId="2C207CE3" w14:textId="77777777" w:rsidR="006746E7" w:rsidRDefault="006746E7">
      <w:pPr>
        <w:jc w:val="both"/>
        <w:rPr>
          <w:rFonts w:ascii="Arial" w:eastAsia="Arial" w:hAnsi="Arial" w:cs="Arial"/>
          <w:sz w:val="22"/>
          <w:szCs w:val="22"/>
          <w:highlight w:val="white"/>
        </w:rPr>
      </w:pPr>
    </w:p>
    <w:p w14:paraId="7563ED00" w14:textId="77777777" w:rsidR="006746E7" w:rsidRDefault="00B23247">
      <w:pPr>
        <w:ind w:right="-92"/>
        <w:jc w:val="both"/>
        <w:rPr>
          <w:rFonts w:ascii="Arial" w:eastAsia="Arial" w:hAnsi="Arial" w:cs="Arial"/>
          <w:sz w:val="22"/>
          <w:szCs w:val="22"/>
        </w:rPr>
      </w:pPr>
      <w:r>
        <w:rPr>
          <w:rFonts w:ascii="Arial" w:eastAsia="Arial" w:hAnsi="Arial" w:cs="Arial"/>
          <w:sz w:val="22"/>
          <w:szCs w:val="22"/>
        </w:rPr>
        <w:t xml:space="preserve">Estas pruebas valoradas en conjunto bajo la sana crítica, siendo pertinentes, útiles y conducentes, llevan al operador administrativo a la creencia fehaciente de que la orden aún continúa sin ser acatada y superada. </w:t>
      </w:r>
    </w:p>
    <w:p w14:paraId="1587FF5B" w14:textId="77777777" w:rsidR="006746E7" w:rsidRDefault="006746E7">
      <w:pPr>
        <w:jc w:val="both"/>
        <w:rPr>
          <w:rFonts w:ascii="Arial" w:eastAsia="Arial" w:hAnsi="Arial" w:cs="Arial"/>
          <w:sz w:val="22"/>
          <w:szCs w:val="22"/>
        </w:rPr>
      </w:pPr>
    </w:p>
    <w:p w14:paraId="1D5BFE2F" w14:textId="77777777" w:rsidR="006746E7" w:rsidRDefault="00B23247">
      <w:pPr>
        <w:pBdr>
          <w:top w:val="nil"/>
          <w:left w:val="nil"/>
          <w:bottom w:val="nil"/>
          <w:right w:val="nil"/>
          <w:between w:val="nil"/>
        </w:pBdr>
        <w:jc w:val="both"/>
        <w:rPr>
          <w:rFonts w:ascii="Arial" w:eastAsia="Arial" w:hAnsi="Arial" w:cs="Arial"/>
          <w:color w:val="000000"/>
          <w:sz w:val="22"/>
          <w:szCs w:val="22"/>
          <w:highlight w:val="white"/>
        </w:rPr>
      </w:pPr>
      <w:r>
        <w:rPr>
          <w:rFonts w:ascii="Arial" w:eastAsia="Arial" w:hAnsi="Arial" w:cs="Arial"/>
          <w:color w:val="000000"/>
          <w:sz w:val="22"/>
          <w:szCs w:val="22"/>
          <w:highlight w:val="white"/>
        </w:rPr>
        <w:t xml:space="preserve">Aunado a lo anterior, es importante señalar que no corresponde a esta Dirección evidenciar o probar la subsanación de los hechos objeto de las órdenes de hacer de oficio, sino que, por el contrario, a la sancionada le </w:t>
      </w:r>
      <w:r>
        <w:rPr>
          <w:rFonts w:ascii="Arial" w:eastAsia="Arial" w:hAnsi="Arial" w:cs="Arial"/>
          <w:sz w:val="22"/>
          <w:szCs w:val="22"/>
          <w:highlight w:val="white"/>
        </w:rPr>
        <w:t>corresponde allegar las pruebas que demuestren el cumplimiento de su obligación, tal y como lo establece el artículo tercero de la</w:t>
      </w:r>
      <w:r>
        <w:rPr>
          <w:rFonts w:ascii="Arial" w:eastAsia="Arial" w:hAnsi="Arial" w:cs="Arial"/>
          <w:sz w:val="22"/>
          <w:szCs w:val="22"/>
        </w:rPr>
        <w:t xml:space="preserve"> Resolución No. 1818 del 11 de septiembre de 2019,</w:t>
      </w:r>
      <w:r>
        <w:rPr>
          <w:rFonts w:ascii="Arial" w:eastAsia="Arial" w:hAnsi="Arial" w:cs="Arial"/>
          <w:sz w:val="22"/>
          <w:szCs w:val="22"/>
          <w:highlight w:val="white"/>
        </w:rPr>
        <w:t xml:space="preserve"> en concordancia con el artículo 167 del Código General del proceso, al señalar que les corresponde a las partes probar el supuesto de hecho de las normas que consagran el efecto jurídico que ellas persiguen</w:t>
      </w:r>
      <w:r>
        <w:rPr>
          <w:rFonts w:ascii="Arial" w:eastAsia="Arial" w:hAnsi="Arial" w:cs="Arial"/>
          <w:color w:val="000000"/>
          <w:sz w:val="22"/>
          <w:szCs w:val="22"/>
          <w:highlight w:val="white"/>
        </w:rPr>
        <w:t>:</w:t>
      </w:r>
    </w:p>
    <w:p w14:paraId="6D33066C" w14:textId="77777777" w:rsidR="006746E7" w:rsidRDefault="006746E7">
      <w:pPr>
        <w:jc w:val="both"/>
        <w:rPr>
          <w:rFonts w:ascii="Arial" w:eastAsia="Arial" w:hAnsi="Arial" w:cs="Arial"/>
          <w:sz w:val="22"/>
          <w:szCs w:val="22"/>
          <w:highlight w:val="white"/>
        </w:rPr>
      </w:pPr>
    </w:p>
    <w:p w14:paraId="598A43A9" w14:textId="77777777" w:rsidR="006746E7" w:rsidRDefault="00B23247">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w:t>
      </w:r>
      <w:r>
        <w:rPr>
          <w:rFonts w:ascii="Arial" w:eastAsia="Arial" w:hAnsi="Arial" w:cs="Arial"/>
          <w:b/>
          <w:bCs/>
          <w:i/>
          <w:iCs/>
          <w:color w:val="000000"/>
          <w:sz w:val="22"/>
          <w:szCs w:val="22"/>
          <w:highlight w:val="white"/>
        </w:rPr>
        <w:t>ARTÍCULO 167. CARGA DE LA PRUEBA.</w:t>
      </w:r>
      <w:r>
        <w:rPr>
          <w:rFonts w:ascii="Arial" w:eastAsia="Arial" w:hAnsi="Arial" w:cs="Arial"/>
          <w:i/>
          <w:iCs/>
          <w:color w:val="000000"/>
          <w:sz w:val="22"/>
          <w:szCs w:val="22"/>
          <w:highlight w:val="white"/>
        </w:rPr>
        <w:t xml:space="preserve"> Incumbe a las partes probar el supuesto de hecho de las normas que consagran el efecto jurídico que ellas persiguen.</w:t>
      </w:r>
    </w:p>
    <w:p w14:paraId="28528FED" w14:textId="77777777" w:rsidR="006746E7" w:rsidRDefault="00B23247">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02682F4C" w14:textId="77777777" w:rsidR="006746E7" w:rsidRDefault="00B23247">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xml:space="preserve">No obstante, según las particularidades del caso, el juez podrá, de oficio o a petición de parte, distribuir, la carga al decretar las pruebas, durante su práctica o en cualquier momento del proceso antes de fallar, exigiendo probar determinado hecho a la parte </w:t>
      </w:r>
      <w:r>
        <w:rPr>
          <w:rFonts w:ascii="Arial" w:eastAsia="Arial" w:hAnsi="Arial" w:cs="Arial"/>
          <w:i/>
          <w:iCs/>
          <w:color w:val="000000"/>
          <w:sz w:val="22"/>
          <w:szCs w:val="22"/>
          <w:highlight w:val="white"/>
        </w:rPr>
        <w:lastRenderedPageBreak/>
        <w:t>que se encuentre en una situación más favorable para aportar las evidencias o esclarecer los hechos controvertidos. La parte se considerará en mejor posición para probar en virtud de su cercanía con el material probatorio, por tener en su poder el objeto de prueba, por circunstancias técnicas especiales, por haber intervenido directamente en los hechos que dieron lugar al litigio, o por estado de indefensión o de incapacidad en la cual se encuentre la contraparte, entre otras circunstancias similares.</w:t>
      </w:r>
    </w:p>
    <w:p w14:paraId="71EB32ED" w14:textId="77777777" w:rsidR="006746E7" w:rsidRDefault="00B23247">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670D9067" w14:textId="77777777" w:rsidR="006746E7" w:rsidRDefault="00B23247">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Cuando el juez adopte esta decisión, que será susceptible de recurso, otorgará a la parte correspondiente el término necesario para aportar o solicitar la respectiva prueba, la cual se someterá a las reglas de contradicción previstas en este código.</w:t>
      </w:r>
    </w:p>
    <w:p w14:paraId="0E69BC2D" w14:textId="77777777" w:rsidR="006746E7" w:rsidRDefault="00B23247">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0964CE63" w14:textId="77777777" w:rsidR="006746E7" w:rsidRDefault="00B23247">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Los hechos notorios y las afirmaciones o negaciones indefinidas no requieren prueba.”.</w:t>
      </w:r>
    </w:p>
    <w:p w14:paraId="7B4E5CBD" w14:textId="77777777" w:rsidR="006746E7" w:rsidRDefault="00B2324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0848C862" w14:textId="77777777" w:rsidR="006746E7" w:rsidRDefault="00B23247">
      <w:pPr>
        <w:jc w:val="both"/>
        <w:rPr>
          <w:rFonts w:ascii="Arial" w:eastAsia="Arial" w:hAnsi="Arial" w:cs="Arial"/>
          <w:sz w:val="22"/>
          <w:szCs w:val="22"/>
        </w:rPr>
      </w:pPr>
      <w:r>
        <w:rPr>
          <w:rFonts w:ascii="Arial" w:eastAsia="Arial" w:hAnsi="Arial" w:cs="Arial"/>
          <w:sz w:val="22"/>
          <w:szCs w:val="22"/>
        </w:rPr>
        <w:t>En efecto, es obligación de la sociedad enajenadora informar a este Despacho de las actuaciones tendientes a solucionar de manera efectiva los hechos objeto de la sanción por las deficiencias constructivas, toda vez que la misma proviene de una orden impuesta; sin embargo, como se demostró en el expediente, a la fecha no obra prueba alguna que permita establecer que los hechos han sido superados de manera definitiva, o que el quejoso o interesado han impedido la realización de las obras ordenadas, pese a que ha contado con el término suficiente para ello, situación que conlleva a la imposición de multas, en los términos citados en párrafos anteriores.</w:t>
      </w:r>
    </w:p>
    <w:p w14:paraId="6B3C0588" w14:textId="77777777" w:rsidR="006746E7" w:rsidRDefault="006746E7">
      <w:pPr>
        <w:ind w:left="360"/>
        <w:jc w:val="both"/>
        <w:rPr>
          <w:rFonts w:ascii="Arial" w:eastAsia="Arial" w:hAnsi="Arial" w:cs="Arial"/>
          <w:b/>
          <w:bCs/>
          <w:sz w:val="22"/>
          <w:szCs w:val="22"/>
          <w:highlight w:val="white"/>
        </w:rPr>
      </w:pPr>
    </w:p>
    <w:p w14:paraId="78AD1981" w14:textId="77777777" w:rsidR="006746E7" w:rsidRDefault="00B23247">
      <w:pPr>
        <w:jc w:val="both"/>
        <w:rPr>
          <w:rFonts w:ascii="Arial" w:eastAsia="Arial" w:hAnsi="Arial" w:cs="Arial"/>
          <w:b/>
          <w:bCs/>
          <w:sz w:val="22"/>
          <w:szCs w:val="22"/>
          <w:highlight w:val="white"/>
        </w:rPr>
      </w:pPr>
      <w:r>
        <w:rPr>
          <w:rFonts w:ascii="Arial" w:eastAsia="Arial" w:hAnsi="Arial" w:cs="Arial"/>
          <w:b/>
          <w:bCs/>
          <w:sz w:val="22"/>
          <w:szCs w:val="22"/>
          <w:highlight w:val="white"/>
        </w:rPr>
        <w:t>Graduación de la sanción.</w:t>
      </w:r>
    </w:p>
    <w:p w14:paraId="23B867AC" w14:textId="77777777" w:rsidR="006746E7" w:rsidRDefault="006746E7">
      <w:pPr>
        <w:jc w:val="both"/>
        <w:rPr>
          <w:rFonts w:ascii="Arial" w:eastAsia="Arial" w:hAnsi="Arial" w:cs="Arial"/>
          <w:sz w:val="22"/>
          <w:szCs w:val="22"/>
          <w:highlight w:val="white"/>
        </w:rPr>
      </w:pPr>
    </w:p>
    <w:p w14:paraId="746DE40F" w14:textId="77777777" w:rsidR="006746E7" w:rsidRDefault="00B23247">
      <w:pPr>
        <w:jc w:val="both"/>
        <w:rPr>
          <w:rFonts w:ascii="Arial" w:eastAsia="Arial" w:hAnsi="Arial" w:cs="Arial"/>
          <w:sz w:val="22"/>
          <w:szCs w:val="22"/>
          <w:highlight w:val="white"/>
        </w:rPr>
      </w:pPr>
      <w:r>
        <w:rPr>
          <w:rFonts w:ascii="Arial" w:eastAsia="Arial" w:hAnsi="Arial" w:cs="Arial"/>
          <w:sz w:val="22"/>
          <w:szCs w:val="22"/>
          <w:highlight w:val="white"/>
        </w:rPr>
        <w:t>El parámetro fundamental para la graduación de las multas es el carácter leve, grave o gravísimo que se le asigna a las afectaciones dentro del trámite de la actuación, conforme a las definiciones del artículo 112 del Decreto Distrital 653 de 2025. Estas tres categorías modulan la infracción al derecho a la vivienda digna como máximo bien jurídico tutelado dentro de las actuaciones por deficiencias constructivas y/o desmejoramientos de especificaciones técnicas que adelanta esta Dirección.</w:t>
      </w:r>
    </w:p>
    <w:p w14:paraId="36D30498" w14:textId="77777777" w:rsidR="006746E7" w:rsidRDefault="006746E7">
      <w:pPr>
        <w:jc w:val="both"/>
        <w:rPr>
          <w:rFonts w:ascii="Arial" w:eastAsia="Arial" w:hAnsi="Arial" w:cs="Arial"/>
          <w:sz w:val="22"/>
          <w:szCs w:val="22"/>
          <w:highlight w:val="white"/>
        </w:rPr>
      </w:pPr>
    </w:p>
    <w:p w14:paraId="5863F955" w14:textId="77777777" w:rsidR="006746E7" w:rsidRDefault="00B23247">
      <w:pPr>
        <w:jc w:val="both"/>
        <w:rPr>
          <w:rFonts w:ascii="Arial" w:eastAsia="Arial" w:hAnsi="Arial" w:cs="Arial"/>
          <w:sz w:val="22"/>
          <w:szCs w:val="22"/>
          <w:highlight w:val="white"/>
        </w:rPr>
      </w:pPr>
      <w:r>
        <w:rPr>
          <w:rFonts w:ascii="Arial" w:eastAsia="Arial" w:hAnsi="Arial" w:cs="Arial"/>
          <w:sz w:val="22"/>
          <w:szCs w:val="22"/>
          <w:highlight w:val="white"/>
        </w:rPr>
        <w:t xml:space="preserve">Dicha categorización apunta a diferenciar si se vulneran las condiciones de habitabilidad o de uso de la vivienda o sus condiciones estructurales, por tanto, constituyen el marco para la aplicación de los principios de razonabilidad y proporcionalidad en la motivación de la multa. En el presente caso se determinó que las afectaciones son de carácter gravísima, como se evidencia en el artículo segundo de la </w:t>
      </w:r>
      <w:r>
        <w:rPr>
          <w:rFonts w:ascii="Arial" w:eastAsia="Arial" w:hAnsi="Arial" w:cs="Arial"/>
          <w:sz w:val="22"/>
          <w:szCs w:val="22"/>
        </w:rPr>
        <w:t>Resolución No. 1818 del 11 de septiembre de 2019.</w:t>
      </w:r>
    </w:p>
    <w:p w14:paraId="0E6121FA" w14:textId="77777777" w:rsidR="006746E7" w:rsidRDefault="006746E7">
      <w:pPr>
        <w:jc w:val="both"/>
        <w:rPr>
          <w:rFonts w:ascii="Arial" w:eastAsia="Arial" w:hAnsi="Arial" w:cs="Arial"/>
          <w:sz w:val="22"/>
          <w:szCs w:val="22"/>
          <w:highlight w:val="white"/>
        </w:rPr>
      </w:pPr>
    </w:p>
    <w:p w14:paraId="3F611D1B" w14:textId="77777777" w:rsidR="006746E7" w:rsidRDefault="00B23247">
      <w:pPr>
        <w:jc w:val="both"/>
        <w:rPr>
          <w:rFonts w:ascii="Arial" w:eastAsia="Arial" w:hAnsi="Arial" w:cs="Arial"/>
          <w:sz w:val="22"/>
          <w:szCs w:val="22"/>
          <w:highlight w:val="white"/>
        </w:rPr>
      </w:pPr>
      <w:r>
        <w:rPr>
          <w:rFonts w:ascii="Arial" w:eastAsia="Arial" w:hAnsi="Arial" w:cs="Arial"/>
          <w:sz w:val="22"/>
          <w:szCs w:val="22"/>
          <w:highlight w:val="white"/>
        </w:rPr>
        <w:t>Es por ello por lo que esta Dirección gradúa las multas que impone, cuando hay lugar a ello, atendiendo los criterios establecidos en el artículo 50 del Código de Procedimiento Administrativo y de lo Contencioso Administrativo, que se logren establecer en la actuación administrativa.</w:t>
      </w:r>
    </w:p>
    <w:p w14:paraId="0BA671E0" w14:textId="77777777" w:rsidR="006746E7" w:rsidRDefault="006746E7">
      <w:pPr>
        <w:ind w:right="567"/>
        <w:jc w:val="both"/>
        <w:rPr>
          <w:rFonts w:ascii="Arial" w:eastAsia="Arial" w:hAnsi="Arial" w:cs="Arial"/>
          <w:i/>
          <w:iCs/>
          <w:sz w:val="22"/>
          <w:szCs w:val="22"/>
        </w:rPr>
      </w:pPr>
    </w:p>
    <w:p w14:paraId="0B6B426B" w14:textId="77777777" w:rsidR="006746E7" w:rsidRDefault="00B23247">
      <w:pPr>
        <w:tabs>
          <w:tab w:val="left" w:pos="284"/>
        </w:tabs>
        <w:jc w:val="both"/>
        <w:rPr>
          <w:rFonts w:ascii="Arial" w:eastAsia="Arial" w:hAnsi="Arial" w:cs="Arial"/>
          <w:sz w:val="22"/>
          <w:szCs w:val="22"/>
        </w:rPr>
      </w:pPr>
      <w:r>
        <w:rPr>
          <w:rFonts w:ascii="Arial" w:eastAsia="Arial" w:hAnsi="Arial" w:cs="Arial"/>
          <w:sz w:val="22"/>
          <w:szCs w:val="22"/>
        </w:rPr>
        <w:t>Así las cosas, el artículo 50 de la Ley 1437 de 2011 establece que, en la determinación de la gravedad de la falta y el rigor de la sanción se han de considerar los criterios expresamente previstos allí.</w:t>
      </w:r>
    </w:p>
    <w:p w14:paraId="2CDFC483" w14:textId="77777777" w:rsidR="006746E7" w:rsidRDefault="006746E7">
      <w:pPr>
        <w:jc w:val="both"/>
        <w:rPr>
          <w:rFonts w:ascii="Arial" w:eastAsia="Arial" w:hAnsi="Arial" w:cs="Arial"/>
          <w:sz w:val="22"/>
          <w:szCs w:val="22"/>
        </w:rPr>
      </w:pPr>
    </w:p>
    <w:p w14:paraId="1F828D90" w14:textId="77777777" w:rsidR="006746E7" w:rsidRDefault="00B23247">
      <w:pPr>
        <w:tabs>
          <w:tab w:val="left" w:pos="284"/>
        </w:tabs>
        <w:jc w:val="both"/>
        <w:rPr>
          <w:rFonts w:ascii="Arial" w:eastAsia="Arial" w:hAnsi="Arial" w:cs="Arial"/>
          <w:sz w:val="22"/>
          <w:szCs w:val="22"/>
        </w:rPr>
      </w:pPr>
      <w:r>
        <w:rPr>
          <w:rFonts w:ascii="Arial" w:eastAsia="Arial" w:hAnsi="Arial" w:cs="Arial"/>
          <w:sz w:val="22"/>
          <w:szCs w:val="22"/>
        </w:rPr>
        <w:t>Bajo las anteriores consideraciones, una vez evaluada la conducta objeto de reproche desde sus diferentes dimensiones y teniendo en cuenta los criterios normativos señalados, a los cuales se encuentra sujeta la discrecionalidad de la administración, esta Dirección iniciará la definición de la sanción que resulte necesario imponer, frente a la conducta desplegada por parte de la sociedad enajenadora investigada a saber:</w:t>
      </w:r>
    </w:p>
    <w:p w14:paraId="6E7D9B16" w14:textId="77777777" w:rsidR="006746E7" w:rsidRDefault="006746E7">
      <w:pPr>
        <w:pBdr>
          <w:top w:val="nil"/>
          <w:left w:val="nil"/>
          <w:bottom w:val="nil"/>
          <w:right w:val="nil"/>
          <w:between w:val="nil"/>
        </w:pBdr>
        <w:tabs>
          <w:tab w:val="left" w:pos="284"/>
        </w:tabs>
        <w:jc w:val="both"/>
        <w:rPr>
          <w:rFonts w:ascii="Arial" w:eastAsia="Arial" w:hAnsi="Arial" w:cs="Arial"/>
          <w:b/>
          <w:bCs/>
          <w:color w:val="000000"/>
          <w:sz w:val="22"/>
          <w:szCs w:val="22"/>
        </w:rPr>
      </w:pPr>
    </w:p>
    <w:p w14:paraId="63B389A9" w14:textId="77777777" w:rsidR="006746E7" w:rsidRDefault="00B23247">
      <w:pPr>
        <w:pBdr>
          <w:top w:val="nil"/>
          <w:left w:val="nil"/>
          <w:bottom w:val="nil"/>
          <w:right w:val="nil"/>
          <w:between w:val="nil"/>
        </w:pBdr>
        <w:tabs>
          <w:tab w:val="left" w:pos="284"/>
        </w:tabs>
        <w:jc w:val="both"/>
        <w:rPr>
          <w:rFonts w:ascii="Arial" w:eastAsia="Arial" w:hAnsi="Arial" w:cs="Arial"/>
          <w:color w:val="000000"/>
          <w:sz w:val="22"/>
          <w:szCs w:val="22"/>
        </w:rPr>
      </w:pPr>
      <w:r>
        <w:rPr>
          <w:rFonts w:ascii="Arial" w:eastAsia="Arial" w:hAnsi="Arial" w:cs="Arial"/>
          <w:b/>
          <w:bCs/>
          <w:color w:val="000000"/>
          <w:sz w:val="22"/>
          <w:szCs w:val="22"/>
        </w:rPr>
        <w:t>Daño o peligro generado a los intereses jurídicos tutelados:</w:t>
      </w:r>
      <w:r>
        <w:rPr>
          <w:rFonts w:ascii="Arial" w:eastAsia="Arial" w:hAnsi="Arial" w:cs="Arial"/>
          <w:color w:val="000000"/>
          <w:sz w:val="22"/>
          <w:szCs w:val="22"/>
        </w:rPr>
        <w:t xml:space="preserve"> Este criterio alude bien a que se produzca un daño al interés jurídico protegido por la norma infringida, o a que simplemente se ponga en peligro. </w:t>
      </w:r>
    </w:p>
    <w:p w14:paraId="79B4FD2B" w14:textId="77777777" w:rsidR="006746E7" w:rsidRDefault="006746E7">
      <w:pPr>
        <w:pBdr>
          <w:top w:val="nil"/>
          <w:left w:val="nil"/>
          <w:bottom w:val="nil"/>
          <w:right w:val="nil"/>
          <w:between w:val="nil"/>
        </w:pBdr>
        <w:tabs>
          <w:tab w:val="left" w:pos="284"/>
        </w:tabs>
        <w:jc w:val="both"/>
        <w:rPr>
          <w:rFonts w:ascii="Arial" w:eastAsia="Arial" w:hAnsi="Arial" w:cs="Arial"/>
          <w:color w:val="000000"/>
          <w:sz w:val="22"/>
          <w:szCs w:val="22"/>
        </w:rPr>
      </w:pPr>
    </w:p>
    <w:p w14:paraId="2F616697" w14:textId="77777777" w:rsidR="006746E7" w:rsidRDefault="00B23247">
      <w:pPr>
        <w:jc w:val="both"/>
        <w:rPr>
          <w:rFonts w:ascii="Arial" w:eastAsia="Arial" w:hAnsi="Arial" w:cs="Arial"/>
          <w:sz w:val="22"/>
          <w:szCs w:val="22"/>
        </w:rPr>
      </w:pPr>
      <w:r>
        <w:rPr>
          <w:rFonts w:ascii="Arial" w:eastAsia="Arial" w:hAnsi="Arial" w:cs="Arial"/>
          <w:sz w:val="22"/>
          <w:szCs w:val="22"/>
        </w:rPr>
        <w:t>E</w:t>
      </w:r>
      <w:r>
        <w:rPr>
          <w:rFonts w:ascii="Arial" w:eastAsia="Arial" w:hAnsi="Arial" w:cs="Arial"/>
          <w:sz w:val="22"/>
          <w:szCs w:val="22"/>
          <w:highlight w:val="white"/>
        </w:rPr>
        <w:t>n este caso se evidencia que la sociedad enajenadora no ha dado cumplimiento a las órdenes de hacer, aun cuando es de su conocimiento que contaba con el término de cuatro (4) meses para realizar los trabajos tendientes a solucionar en forma definitiva los hechos objeto de sanción</w:t>
      </w:r>
      <w:r>
        <w:rPr>
          <w:rFonts w:ascii="Arial" w:eastAsia="Arial" w:hAnsi="Arial" w:cs="Arial"/>
          <w:sz w:val="22"/>
          <w:szCs w:val="22"/>
        </w:rPr>
        <w:t>.</w:t>
      </w:r>
    </w:p>
    <w:p w14:paraId="46A96E05" w14:textId="77777777" w:rsidR="006746E7" w:rsidRDefault="00B23247">
      <w:pPr>
        <w:jc w:val="both"/>
        <w:rPr>
          <w:rFonts w:ascii="Arial" w:eastAsia="Arial" w:hAnsi="Arial" w:cs="Arial"/>
          <w:sz w:val="22"/>
          <w:szCs w:val="22"/>
          <w:highlight w:val="white"/>
        </w:rPr>
      </w:pPr>
      <w:r>
        <w:rPr>
          <w:rFonts w:ascii="Arial" w:eastAsia="Arial" w:hAnsi="Arial" w:cs="Arial"/>
          <w:sz w:val="22"/>
          <w:szCs w:val="22"/>
        </w:rPr>
        <w:tab/>
      </w:r>
      <w:r>
        <w:rPr>
          <w:rFonts w:ascii="Arial" w:eastAsia="Arial" w:hAnsi="Arial" w:cs="Arial"/>
          <w:sz w:val="22"/>
          <w:szCs w:val="22"/>
          <w:highlight w:val="white"/>
        </w:rPr>
        <w:t xml:space="preserve"> </w:t>
      </w:r>
    </w:p>
    <w:p w14:paraId="6CEE9460" w14:textId="77777777" w:rsidR="006746E7" w:rsidRDefault="00B23247">
      <w:pPr>
        <w:jc w:val="both"/>
        <w:rPr>
          <w:rFonts w:ascii="Arial" w:eastAsia="Arial" w:hAnsi="Arial" w:cs="Arial"/>
          <w:color w:val="FF0000"/>
          <w:sz w:val="22"/>
          <w:szCs w:val="22"/>
        </w:rPr>
      </w:pPr>
      <w:r>
        <w:rPr>
          <w:rFonts w:ascii="Arial" w:eastAsia="Arial" w:hAnsi="Arial" w:cs="Arial"/>
          <w:sz w:val="22"/>
          <w:szCs w:val="22"/>
        </w:rPr>
        <w:t>Por lo anterior, este criterio resulta aplicable al caso concreto, razón por la cual se tendrá en cuenta para la graduación de la sanción que resulte procedente de acuerdo con los cargos endilgados en la Resolución No. 1818 del 11 de septiembre de 2019.</w:t>
      </w:r>
    </w:p>
    <w:p w14:paraId="17BF098F" w14:textId="77777777" w:rsidR="006746E7" w:rsidRDefault="006746E7">
      <w:pPr>
        <w:jc w:val="both"/>
        <w:rPr>
          <w:rFonts w:ascii="Arial" w:eastAsia="Arial" w:hAnsi="Arial" w:cs="Arial"/>
          <w:sz w:val="22"/>
          <w:szCs w:val="22"/>
        </w:rPr>
      </w:pPr>
    </w:p>
    <w:p w14:paraId="16DE6EF8" w14:textId="77777777" w:rsidR="006746E7" w:rsidRDefault="00B23247">
      <w:pPr>
        <w:jc w:val="both"/>
        <w:rPr>
          <w:rFonts w:ascii="Arial" w:eastAsia="Arial" w:hAnsi="Arial" w:cs="Arial"/>
          <w:b/>
          <w:bCs/>
          <w:color w:val="FF0000"/>
          <w:sz w:val="22"/>
          <w:szCs w:val="22"/>
        </w:rPr>
      </w:pPr>
      <w:r>
        <w:rPr>
          <w:rFonts w:ascii="Arial" w:eastAsia="Arial" w:hAnsi="Arial" w:cs="Arial"/>
          <w:b/>
          <w:bCs/>
          <w:sz w:val="22"/>
          <w:szCs w:val="22"/>
        </w:rPr>
        <w:t xml:space="preserve">Beneficio económico por el infractor para sí o a favor de un tercero: </w:t>
      </w:r>
      <w:r>
        <w:rPr>
          <w:rFonts w:ascii="Arial" w:eastAsia="Arial" w:hAnsi="Arial" w:cs="Arial"/>
          <w:sz w:val="22"/>
          <w:szCs w:val="22"/>
        </w:rPr>
        <w:t>No se observa en el desarrollo de la presente actuación administrativa de seguimiento que la sociedad enajenadora HECHO CONCRETO S.A.S, obtuviera,</w:t>
      </w:r>
      <w:r>
        <w:rPr>
          <w:rFonts w:ascii="Arial" w:eastAsia="Arial" w:hAnsi="Arial" w:cs="Arial"/>
          <w:b/>
          <w:bCs/>
          <w:sz w:val="22"/>
          <w:szCs w:val="22"/>
        </w:rPr>
        <w:t xml:space="preserve"> </w:t>
      </w:r>
      <w:r>
        <w:rPr>
          <w:rFonts w:ascii="Arial" w:eastAsia="Arial" w:hAnsi="Arial" w:cs="Arial"/>
          <w:sz w:val="22"/>
          <w:szCs w:val="22"/>
        </w:rPr>
        <w:t>para sí</w:t>
      </w:r>
      <w:r>
        <w:rPr>
          <w:rFonts w:ascii="Arial" w:eastAsia="Arial" w:hAnsi="Arial" w:cs="Arial"/>
          <w:b/>
          <w:bCs/>
          <w:sz w:val="22"/>
          <w:szCs w:val="22"/>
        </w:rPr>
        <w:t xml:space="preserve"> </w:t>
      </w:r>
      <w:r>
        <w:rPr>
          <w:rFonts w:ascii="Arial" w:eastAsia="Arial" w:hAnsi="Arial" w:cs="Arial"/>
          <w:sz w:val="22"/>
          <w:szCs w:val="22"/>
        </w:rPr>
        <w:t>o en favor de un tercero,</w:t>
      </w:r>
      <w:r>
        <w:rPr>
          <w:rFonts w:ascii="Arial" w:eastAsia="Arial" w:hAnsi="Arial" w:cs="Arial"/>
          <w:b/>
          <w:bCs/>
          <w:sz w:val="22"/>
          <w:szCs w:val="22"/>
        </w:rPr>
        <w:t xml:space="preserve"> </w:t>
      </w:r>
      <w:r>
        <w:rPr>
          <w:rFonts w:ascii="Arial" w:eastAsia="Arial" w:hAnsi="Arial" w:cs="Arial"/>
          <w:sz w:val="22"/>
          <w:szCs w:val="22"/>
        </w:rPr>
        <w:t xml:space="preserve">algún beneficio económico en la presente investigación, por lo que este criterio no resulta aplicable para graduar la sanción a imponer. </w:t>
      </w:r>
    </w:p>
    <w:p w14:paraId="6E53E686" w14:textId="77777777" w:rsidR="006746E7" w:rsidRDefault="006746E7">
      <w:pPr>
        <w:jc w:val="both"/>
        <w:rPr>
          <w:rFonts w:ascii="Arial" w:eastAsia="Arial" w:hAnsi="Arial" w:cs="Arial"/>
          <w:sz w:val="22"/>
          <w:szCs w:val="22"/>
        </w:rPr>
      </w:pPr>
    </w:p>
    <w:p w14:paraId="23BF98FE" w14:textId="5884840C" w:rsidR="006746E7" w:rsidRDefault="00B23247">
      <w:pPr>
        <w:jc w:val="both"/>
        <w:rPr>
          <w:rFonts w:ascii="Arial" w:eastAsia="Arial" w:hAnsi="Arial" w:cs="Arial"/>
          <w:b/>
          <w:bCs/>
          <w:sz w:val="22"/>
          <w:szCs w:val="22"/>
        </w:rPr>
      </w:pPr>
      <w:r>
        <w:rPr>
          <w:rFonts w:ascii="Arial" w:eastAsia="Arial" w:hAnsi="Arial" w:cs="Arial"/>
          <w:b/>
          <w:bCs/>
          <w:sz w:val="22"/>
          <w:szCs w:val="22"/>
        </w:rPr>
        <w:t>Reincidencia:</w:t>
      </w:r>
      <w:r>
        <w:rPr>
          <w:rFonts w:ascii="Arial" w:eastAsia="Arial" w:hAnsi="Arial" w:cs="Arial"/>
          <w:sz w:val="22"/>
          <w:szCs w:val="22"/>
        </w:rPr>
        <w:t xml:space="preserve"> Consultado el expediente, no se evidencia que la sociedad enajenadora HECHO CONCRETO S.A.S</w:t>
      </w:r>
      <w:r w:rsidR="00D43921">
        <w:rPr>
          <w:rFonts w:ascii="Arial" w:eastAsia="Arial" w:hAnsi="Arial" w:cs="Arial"/>
          <w:sz w:val="22"/>
          <w:szCs w:val="22"/>
        </w:rPr>
        <w:t>.</w:t>
      </w:r>
      <w:r>
        <w:rPr>
          <w:rFonts w:ascii="Arial" w:eastAsia="Arial" w:hAnsi="Arial" w:cs="Arial"/>
          <w:b/>
          <w:bCs/>
          <w:sz w:val="22"/>
          <w:szCs w:val="22"/>
        </w:rPr>
        <w:t>,</w:t>
      </w:r>
      <w:r>
        <w:rPr>
          <w:rFonts w:ascii="Arial" w:eastAsia="Arial" w:hAnsi="Arial" w:cs="Arial"/>
          <w:sz w:val="22"/>
          <w:szCs w:val="22"/>
        </w:rPr>
        <w:t xml:space="preserve"> haya sido objeto de multas sucesivas por estos mismos hechos (y se encuentren ejecutoriadas) en tanto que se registra únicamente la Resolución No. 1818 del 11 de septiembre de 2019,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w:t>
      </w:r>
    </w:p>
    <w:p w14:paraId="085D1AEC" w14:textId="77777777" w:rsidR="006746E7" w:rsidRDefault="006746E7">
      <w:pPr>
        <w:jc w:val="both"/>
        <w:rPr>
          <w:rFonts w:ascii="Arial" w:eastAsia="Arial" w:hAnsi="Arial" w:cs="Arial"/>
          <w:sz w:val="22"/>
          <w:szCs w:val="22"/>
        </w:rPr>
      </w:pPr>
    </w:p>
    <w:p w14:paraId="76DE909F" w14:textId="6ECA9879" w:rsidR="006746E7" w:rsidRDefault="00B23247">
      <w:pPr>
        <w:jc w:val="both"/>
        <w:rPr>
          <w:rFonts w:ascii="Arial" w:eastAsia="Arial" w:hAnsi="Arial" w:cs="Arial"/>
          <w:b/>
          <w:bCs/>
          <w:sz w:val="22"/>
          <w:szCs w:val="22"/>
        </w:rPr>
      </w:pPr>
      <w:r>
        <w:rPr>
          <w:rFonts w:ascii="Arial" w:eastAsia="Arial" w:hAnsi="Arial" w:cs="Arial"/>
          <w:b/>
          <w:bCs/>
          <w:sz w:val="22"/>
          <w:szCs w:val="22"/>
        </w:rPr>
        <w:t xml:space="preserve">Resistencia, negativa u obstrucción a la acción investigadora o de supervisión: </w:t>
      </w:r>
      <w:r>
        <w:rPr>
          <w:rFonts w:ascii="Arial" w:eastAsia="Arial" w:hAnsi="Arial" w:cs="Arial"/>
          <w:sz w:val="22"/>
          <w:szCs w:val="22"/>
        </w:rPr>
        <w:t>No se observa en el desarrollo de la actuación administrativa de seguimiento que la sociedad enajenadora HECHO CONCRETO S.A.S</w:t>
      </w:r>
      <w:r w:rsidR="00D43921">
        <w:rPr>
          <w:rFonts w:ascii="Arial" w:eastAsia="Arial" w:hAnsi="Arial" w:cs="Arial"/>
          <w:sz w:val="22"/>
          <w:szCs w:val="22"/>
        </w:rPr>
        <w:t>.</w:t>
      </w:r>
      <w:r>
        <w:rPr>
          <w:rFonts w:ascii="Arial" w:eastAsia="Arial" w:hAnsi="Arial" w:cs="Arial"/>
          <w:b/>
          <w:bCs/>
          <w:sz w:val="22"/>
          <w:szCs w:val="22"/>
        </w:rPr>
        <w:t>,</w:t>
      </w:r>
      <w:r>
        <w:rPr>
          <w:rFonts w:ascii="Arial" w:eastAsia="Arial" w:hAnsi="Arial" w:cs="Arial"/>
          <w:sz w:val="22"/>
          <w:szCs w:val="22"/>
        </w:rPr>
        <w:t xml:space="preserve"> incurriera en alguna conducta que implicara resistencia o que obstruyera el desarrollo de la presente investigación, por lo que este criterio no resulta aplicable para graduar la sanción a imponer.</w:t>
      </w:r>
    </w:p>
    <w:p w14:paraId="535F0924" w14:textId="77777777" w:rsidR="006746E7" w:rsidRDefault="006746E7">
      <w:pPr>
        <w:jc w:val="both"/>
        <w:rPr>
          <w:rFonts w:ascii="Arial" w:eastAsia="Arial" w:hAnsi="Arial" w:cs="Arial"/>
          <w:b/>
          <w:bCs/>
          <w:sz w:val="22"/>
          <w:szCs w:val="22"/>
        </w:rPr>
      </w:pPr>
    </w:p>
    <w:p w14:paraId="7FEE7AC6" w14:textId="6D484B2C" w:rsidR="006746E7" w:rsidRDefault="00B23247">
      <w:pPr>
        <w:jc w:val="both"/>
        <w:rPr>
          <w:rFonts w:ascii="Arial" w:eastAsia="Arial" w:hAnsi="Arial" w:cs="Arial"/>
          <w:b/>
          <w:bCs/>
          <w:sz w:val="22"/>
          <w:szCs w:val="22"/>
        </w:rPr>
      </w:pPr>
      <w:r>
        <w:rPr>
          <w:rFonts w:ascii="Arial" w:eastAsia="Arial" w:hAnsi="Arial" w:cs="Arial"/>
          <w:b/>
          <w:bCs/>
          <w:sz w:val="22"/>
          <w:szCs w:val="22"/>
        </w:rPr>
        <w:t>Utilización de medios fraudulentos o utilización de persona interpuesta para ocultar la infracción u ocultar sus efectos:</w:t>
      </w:r>
      <w:r>
        <w:rPr>
          <w:rFonts w:ascii="Arial" w:eastAsia="Arial" w:hAnsi="Arial" w:cs="Arial"/>
          <w:sz w:val="22"/>
          <w:szCs w:val="22"/>
        </w:rPr>
        <w:t xml:space="preserve"> No se evidenció que la sociedad enajenadora HECHO </w:t>
      </w:r>
      <w:r>
        <w:rPr>
          <w:rFonts w:ascii="Arial" w:eastAsia="Arial" w:hAnsi="Arial" w:cs="Arial"/>
          <w:sz w:val="22"/>
          <w:szCs w:val="22"/>
        </w:rPr>
        <w:lastRenderedPageBreak/>
        <w:t>CONCRETO S.A.S</w:t>
      </w:r>
      <w:r w:rsidR="00D43921">
        <w:rPr>
          <w:rFonts w:ascii="Arial" w:eastAsia="Arial" w:hAnsi="Arial" w:cs="Arial"/>
          <w:sz w:val="22"/>
          <w:szCs w:val="22"/>
        </w:rPr>
        <w:t>.</w:t>
      </w:r>
      <w:r>
        <w:rPr>
          <w:rFonts w:ascii="Arial" w:eastAsia="Arial" w:hAnsi="Arial" w:cs="Arial"/>
          <w:sz w:val="22"/>
          <w:szCs w:val="22"/>
        </w:rPr>
        <w:t>, haya propiciado o utilizado alguna maniobra fraudulenta para ocultar la comisión y consecuencias de la infracción que se le imputó, por lo que este criterio no resulta aplicable para graduar la sanción a imponer.</w:t>
      </w:r>
    </w:p>
    <w:p w14:paraId="7AE8EFD1" w14:textId="77777777" w:rsidR="006746E7" w:rsidRDefault="006746E7">
      <w:pPr>
        <w:jc w:val="both"/>
        <w:rPr>
          <w:rFonts w:ascii="Arial" w:eastAsia="Arial" w:hAnsi="Arial" w:cs="Arial"/>
          <w:sz w:val="22"/>
          <w:szCs w:val="22"/>
        </w:rPr>
      </w:pPr>
    </w:p>
    <w:p w14:paraId="554528B9" w14:textId="77777777" w:rsidR="006746E7" w:rsidRDefault="00B23247">
      <w:pPr>
        <w:jc w:val="both"/>
        <w:rPr>
          <w:rFonts w:ascii="Arial" w:eastAsia="Arial" w:hAnsi="Arial" w:cs="Arial"/>
          <w:sz w:val="22"/>
          <w:szCs w:val="22"/>
        </w:rPr>
      </w:pPr>
      <w:r>
        <w:rPr>
          <w:rFonts w:ascii="Arial" w:eastAsia="Arial" w:hAnsi="Arial" w:cs="Arial"/>
          <w:b/>
          <w:bCs/>
          <w:sz w:val="22"/>
          <w:szCs w:val="22"/>
        </w:rPr>
        <w:t xml:space="preserve">Grado de prudencia y diligencia con que se hayan atendido los deberes o se hayan aplicado las normas legales pertinentes: </w:t>
      </w:r>
      <w:r>
        <w:rPr>
          <w:rFonts w:ascii="Arial" w:eastAsia="Arial" w:hAnsi="Arial" w:cs="Arial"/>
          <w:sz w:val="22"/>
          <w:szCs w:val="22"/>
        </w:rPr>
        <w:t xml:space="preserve">Este Despacho considera que el incumplimiento reglamentario en que incurrió la sociedad enajenadora conlleva a la vulneración concreta de obligaciones, y/o prohibiciones previamente conocidas y adquiridas a partir de la voluntaria decisión de desarrollar actividades de enajenación de vivienda urbana en el Distrito Capital, situación que acarrean la observancia de tales aspectos. </w:t>
      </w:r>
    </w:p>
    <w:p w14:paraId="59382E87" w14:textId="77777777" w:rsidR="006746E7" w:rsidRDefault="006746E7">
      <w:pPr>
        <w:jc w:val="both"/>
        <w:rPr>
          <w:rFonts w:ascii="Arial" w:eastAsia="Arial" w:hAnsi="Arial" w:cs="Arial"/>
          <w:sz w:val="22"/>
          <w:szCs w:val="22"/>
        </w:rPr>
      </w:pPr>
    </w:p>
    <w:p w14:paraId="5B5DCB68" w14:textId="77777777" w:rsidR="006746E7" w:rsidRDefault="00B23247">
      <w:pPr>
        <w:jc w:val="both"/>
        <w:rPr>
          <w:rFonts w:ascii="Arial" w:eastAsia="Arial" w:hAnsi="Arial" w:cs="Arial"/>
          <w:sz w:val="22"/>
          <w:szCs w:val="22"/>
        </w:rPr>
      </w:pPr>
      <w:r>
        <w:rPr>
          <w:rFonts w:ascii="Arial" w:eastAsia="Arial" w:hAnsi="Arial" w:cs="Arial"/>
          <w:sz w:val="22"/>
          <w:szCs w:val="22"/>
        </w:rPr>
        <w:t>Bajo este entendido, se hace necesario resaltar, que en la presente actuación administrativa de seguimiento se evidenció que la sociedad enajenadora HECHO CONCRETO S.A.S no logró demostrar un grado de prudencia y diligencia con el que se hayan atendido los deberes, en tanto no allegó prueba que demuestre actividades encaminadas a la subsanación de los hechos establecidos en la resolución No. 1818 del 11 de septiembre de 2019.</w:t>
      </w:r>
    </w:p>
    <w:p w14:paraId="385130DE" w14:textId="77777777" w:rsidR="006746E7" w:rsidRDefault="006746E7">
      <w:pPr>
        <w:jc w:val="both"/>
        <w:rPr>
          <w:rFonts w:ascii="Arial" w:eastAsia="Arial" w:hAnsi="Arial" w:cs="Arial"/>
          <w:sz w:val="22"/>
          <w:szCs w:val="22"/>
        </w:rPr>
      </w:pPr>
    </w:p>
    <w:p w14:paraId="1DCC978E" w14:textId="0978C283" w:rsidR="006746E7" w:rsidRDefault="00B23247">
      <w:pPr>
        <w:jc w:val="both"/>
        <w:rPr>
          <w:rFonts w:ascii="Arial" w:eastAsia="Arial" w:hAnsi="Arial" w:cs="Arial"/>
          <w:color w:val="FFC000"/>
          <w:sz w:val="22"/>
          <w:szCs w:val="22"/>
        </w:rPr>
      </w:pPr>
      <w:r>
        <w:rPr>
          <w:rFonts w:ascii="Arial" w:eastAsia="Arial" w:hAnsi="Arial" w:cs="Arial"/>
          <w:b/>
          <w:bCs/>
          <w:sz w:val="22"/>
          <w:szCs w:val="22"/>
        </w:rPr>
        <w:t>Renuencia o desacato en el cumplimiento de las órdenes impartidas por la autoridad competente:</w:t>
      </w:r>
      <w:r>
        <w:rPr>
          <w:rFonts w:ascii="Arial" w:eastAsia="Arial" w:hAnsi="Arial" w:cs="Arial"/>
          <w:sz w:val="22"/>
          <w:szCs w:val="22"/>
        </w:rPr>
        <w:t xml:space="preserve"> En el curso de la actuación administrativa de seguimiento se evidencia que la sociedad enajenadora HECHO CONCRETO S.A.S., ha incumplido la orden de hacer impuesta en la Resolución No.1818 del 11 de septiembre de 2019, impartida por este Despacho, razón por la cual, la acá sancionado se encuentra inmersa en esta conducta.</w:t>
      </w:r>
    </w:p>
    <w:p w14:paraId="4CDEF36F" w14:textId="77777777" w:rsidR="006746E7" w:rsidRDefault="006746E7">
      <w:pPr>
        <w:jc w:val="both"/>
        <w:rPr>
          <w:rFonts w:ascii="Arial" w:eastAsia="Arial" w:hAnsi="Arial" w:cs="Arial"/>
          <w:sz w:val="22"/>
          <w:szCs w:val="22"/>
        </w:rPr>
      </w:pPr>
    </w:p>
    <w:p w14:paraId="202DC2CA" w14:textId="77777777" w:rsidR="006746E7" w:rsidRDefault="00B23247">
      <w:pPr>
        <w:jc w:val="both"/>
        <w:rPr>
          <w:rFonts w:ascii="Arial" w:eastAsia="Arial" w:hAnsi="Arial" w:cs="Arial"/>
          <w:sz w:val="22"/>
          <w:szCs w:val="22"/>
        </w:rPr>
      </w:pPr>
      <w:r>
        <w:rPr>
          <w:rFonts w:ascii="Arial" w:eastAsia="Arial" w:hAnsi="Arial" w:cs="Arial"/>
          <w:b/>
          <w:bCs/>
          <w:sz w:val="22"/>
          <w:szCs w:val="22"/>
        </w:rPr>
        <w:t>Reconocimiento o aceptación expresa de la infracción antes del decreto de pruebas</w:t>
      </w:r>
      <w:r>
        <w:rPr>
          <w:rFonts w:ascii="Arial" w:eastAsia="Arial" w:hAnsi="Arial" w:cs="Arial"/>
          <w:sz w:val="22"/>
          <w:szCs w:val="22"/>
        </w:rPr>
        <w:t>: En el curso de la presente actuación administrativa de seguimiento la citada conducta ya fue valorada en la etapa procesal correspondiente a la investigación que culminó con la orden de hacer contenida en la Resolución No. 1818 del 11 de septiembre de 2019, razón por la cual, este criterio no resulta aplicable en la presente instancia.</w:t>
      </w:r>
    </w:p>
    <w:p w14:paraId="16969494" w14:textId="77777777" w:rsidR="006746E7" w:rsidRDefault="006746E7">
      <w:pPr>
        <w:jc w:val="both"/>
        <w:rPr>
          <w:rFonts w:ascii="Arial" w:eastAsia="Arial" w:hAnsi="Arial" w:cs="Arial"/>
          <w:sz w:val="22"/>
          <w:szCs w:val="22"/>
          <w:highlight w:val="white"/>
        </w:rPr>
      </w:pPr>
    </w:p>
    <w:p w14:paraId="29CEB966" w14:textId="77777777" w:rsidR="006746E7" w:rsidRDefault="00B23247">
      <w:pPr>
        <w:jc w:val="both"/>
        <w:rPr>
          <w:rFonts w:ascii="Arial" w:eastAsia="Arial" w:hAnsi="Arial" w:cs="Arial"/>
          <w:b/>
          <w:bCs/>
          <w:sz w:val="22"/>
          <w:szCs w:val="22"/>
          <w:highlight w:val="white"/>
        </w:rPr>
      </w:pPr>
      <w:r>
        <w:rPr>
          <w:rFonts w:ascii="Arial" w:eastAsia="Arial" w:hAnsi="Arial" w:cs="Arial"/>
          <w:b/>
          <w:bCs/>
          <w:sz w:val="22"/>
          <w:szCs w:val="22"/>
          <w:highlight w:val="white"/>
        </w:rPr>
        <w:t>7. Indexación de la multa a imponer</w:t>
      </w:r>
    </w:p>
    <w:p w14:paraId="7AAB4A67" w14:textId="77777777" w:rsidR="006746E7" w:rsidRDefault="006746E7">
      <w:pPr>
        <w:tabs>
          <w:tab w:val="left" w:pos="5982"/>
        </w:tabs>
        <w:jc w:val="both"/>
        <w:rPr>
          <w:rFonts w:ascii="Arial" w:eastAsia="Arial" w:hAnsi="Arial" w:cs="Arial"/>
          <w:sz w:val="22"/>
          <w:szCs w:val="22"/>
          <w:highlight w:val="white"/>
        </w:rPr>
      </w:pPr>
    </w:p>
    <w:p w14:paraId="18525525" w14:textId="77777777" w:rsidR="006746E7" w:rsidRDefault="00B23247">
      <w:pPr>
        <w:jc w:val="both"/>
        <w:rPr>
          <w:rFonts w:ascii="Arial" w:eastAsia="Arial" w:hAnsi="Arial" w:cs="Arial"/>
          <w:sz w:val="22"/>
          <w:szCs w:val="22"/>
          <w:highlight w:val="white"/>
        </w:rPr>
      </w:pPr>
      <w:r>
        <w:rPr>
          <w:rFonts w:ascii="Arial" w:eastAsia="Arial" w:hAnsi="Arial" w:cs="Arial"/>
          <w:sz w:val="22"/>
          <w:szCs w:val="22"/>
          <w:highlight w:val="white"/>
        </w:rPr>
        <w:t xml:space="preserve">El inciso segundo, numeral 9º del artículo 2º del Decreto Ley 078 de 1987, faculta a este Despacho para imponer multas sucesivas entre DIEZ MIL ($10.000) y QUINIENTOS MIL ($500.000) pesos moneda legal, a las personas naturales o jurídicas sujetas al control y vigilancia de esta Subsecretaría, cuando se cerciore que se ha vulnerado una norma o reglamento a que debe estar sometido con relación a la actividad de enajenación de inmuebles destinados a vivienda, que serán indexados en el tiempo en que se verifique el incumplimiento, por cada seis (6) meses (calendario) de retardo al vencimiento de la fecha establecida para el efecto, de conformidad con lo dispuesto en el inciso segundo numeral 9º del artículo 2º del Decreto Ley 078 de 1987. </w:t>
      </w:r>
    </w:p>
    <w:p w14:paraId="29992C5B" w14:textId="77777777" w:rsidR="006746E7" w:rsidRDefault="006746E7">
      <w:pPr>
        <w:jc w:val="both"/>
        <w:rPr>
          <w:rFonts w:ascii="Arial" w:eastAsia="Arial" w:hAnsi="Arial" w:cs="Arial"/>
          <w:sz w:val="22"/>
          <w:szCs w:val="22"/>
          <w:highlight w:val="white"/>
        </w:rPr>
      </w:pPr>
    </w:p>
    <w:p w14:paraId="74477692" w14:textId="77777777" w:rsidR="006746E7" w:rsidRDefault="00B23247">
      <w:pPr>
        <w:jc w:val="both"/>
        <w:rPr>
          <w:rFonts w:ascii="Arial" w:eastAsia="Arial" w:hAnsi="Arial" w:cs="Arial"/>
          <w:sz w:val="22"/>
          <w:szCs w:val="22"/>
          <w:highlight w:val="white"/>
        </w:rPr>
      </w:pPr>
      <w:r>
        <w:rPr>
          <w:rFonts w:ascii="Arial" w:eastAsia="Arial" w:hAnsi="Arial" w:cs="Arial"/>
          <w:sz w:val="22"/>
          <w:szCs w:val="22"/>
          <w:highlight w:val="white"/>
        </w:rPr>
        <w:t xml:space="preserve">Las multas antes descritas se actualizarán, toda vez que la inaplicación de la indexación dejaría sin fuerza y efectividad las multas a través de las cuales el legislador buscó conminar </w:t>
      </w:r>
      <w:r>
        <w:rPr>
          <w:rFonts w:ascii="Arial" w:eastAsia="Arial" w:hAnsi="Arial" w:cs="Arial"/>
          <w:sz w:val="22"/>
          <w:szCs w:val="22"/>
          <w:highlight w:val="white"/>
        </w:rPr>
        <w:lastRenderedPageBreak/>
        <w:t>a las personas dedicadas a la enajenación de inmuebles destinados a vivienda a cumplir con sus obligaciones, y a persuadirlos de la comisión de conductas infractoras al régimen aplicable.</w:t>
      </w:r>
    </w:p>
    <w:p w14:paraId="749CC53C" w14:textId="77777777" w:rsidR="006746E7" w:rsidRDefault="006746E7">
      <w:pPr>
        <w:jc w:val="both"/>
        <w:rPr>
          <w:rFonts w:ascii="Arial" w:eastAsia="Arial" w:hAnsi="Arial" w:cs="Arial"/>
          <w:sz w:val="22"/>
          <w:szCs w:val="22"/>
          <w:highlight w:val="white"/>
        </w:rPr>
      </w:pPr>
    </w:p>
    <w:p w14:paraId="10E1C1CC" w14:textId="4A087090" w:rsidR="006746E7" w:rsidRPr="009E08BC" w:rsidRDefault="00B23247" w:rsidP="0091765B">
      <w:pPr>
        <w:jc w:val="both"/>
        <w:rPr>
          <w:rFonts w:ascii="Arial" w:eastAsia="Arial" w:hAnsi="Arial" w:cs="Arial"/>
          <w:sz w:val="22"/>
          <w:szCs w:val="22"/>
        </w:rPr>
      </w:pPr>
      <w:r>
        <w:rPr>
          <w:rFonts w:ascii="Arial" w:eastAsia="Arial" w:hAnsi="Arial" w:cs="Arial"/>
          <w:sz w:val="22"/>
          <w:szCs w:val="22"/>
          <w:highlight w:val="white"/>
        </w:rPr>
        <w:t>Adicionalmente, en este caso concreto la multa se indexa teniendo en cuenta los incrementos del índice de precios al consumidor certificados por el DANE, desde el 26 de octubre de 1979, momento en que se fijaron los valores de las multas por el Decreto Ley 2610 de 1979, hasta la fecha en que se impone la sanción sin que ello signifique el pago de un mayor valor al establecido en la ley, sino que se aplica el mismo valor, pero pasado a términos presentes, postura que además ha sido avalada y reiterada en diferentes pronunciamientos jurisprudenciales, los cuales fueron recogidos en el Concepto No. 1564 del 18 de mayo de 2004, emitido por la Sala de Consulta y Servicio Civil del Consejo de Estado, y acogidos por esta entidad mediante la Directiva No. 001 del 12 de enero de 2010 expedida por la Secretaría Distrital del Hábitat</w:t>
      </w:r>
      <w:r>
        <w:rPr>
          <w:rFonts w:ascii="Arial" w:eastAsia="Arial" w:hAnsi="Arial" w:cs="Arial"/>
          <w:sz w:val="22"/>
          <w:szCs w:val="22"/>
          <w:highlight w:val="white"/>
          <w:vertAlign w:val="superscript"/>
        </w:rPr>
        <w:footnoteReference w:id="1"/>
      </w:r>
      <w:r>
        <w:rPr>
          <w:rFonts w:ascii="Arial" w:eastAsia="Arial" w:hAnsi="Arial" w:cs="Arial"/>
          <w:sz w:val="22"/>
          <w:szCs w:val="22"/>
          <w:highlight w:val="white"/>
        </w:rPr>
        <w:t xml:space="preserve">. </w:t>
      </w:r>
      <w:r w:rsidRPr="009E08BC">
        <w:rPr>
          <w:rFonts w:ascii="Arial" w:eastAsia="Arial" w:hAnsi="Arial" w:cs="Arial"/>
          <w:sz w:val="22"/>
          <w:szCs w:val="22"/>
        </w:rPr>
        <w:t>Para la actualización de la sanción se da aplicación a la siguiente fórmula:</w:t>
      </w:r>
    </w:p>
    <w:p w14:paraId="3FD469EE" w14:textId="77777777" w:rsidR="006746E7" w:rsidRPr="009E08BC" w:rsidRDefault="006746E7">
      <w:pPr>
        <w:tabs>
          <w:tab w:val="left" w:pos="4253"/>
          <w:tab w:val="right" w:pos="8504"/>
        </w:tabs>
        <w:jc w:val="both"/>
        <w:rPr>
          <w:rFonts w:ascii="Arial" w:eastAsia="Arial" w:hAnsi="Arial" w:cs="Arial"/>
          <w:sz w:val="22"/>
          <w:szCs w:val="22"/>
        </w:rPr>
      </w:pPr>
    </w:p>
    <w:p w14:paraId="52F0997D" w14:textId="5EC34D97" w:rsidR="006746E7" w:rsidRPr="00B10A0D" w:rsidRDefault="00B23247">
      <w:pPr>
        <w:jc w:val="center"/>
        <w:rPr>
          <w:rFonts w:ascii="Arial" w:eastAsia="Arial" w:hAnsi="Arial" w:cs="Arial"/>
          <w:sz w:val="22"/>
          <w:szCs w:val="22"/>
          <w:lang w:val="es-CO"/>
        </w:rPr>
      </w:pPr>
      <w:r w:rsidRPr="009E08BC">
        <w:rPr>
          <w:rFonts w:ascii="Arial" w:eastAsia="Arial" w:hAnsi="Arial" w:cs="Arial"/>
          <w:b/>
          <w:bCs/>
          <w:sz w:val="22"/>
          <w:szCs w:val="22"/>
        </w:rPr>
        <w:t xml:space="preserve">        </w:t>
      </w:r>
      <w:r w:rsidRPr="00B10A0D">
        <w:rPr>
          <w:rFonts w:ascii="Arial" w:eastAsia="Arial" w:hAnsi="Arial" w:cs="Arial"/>
          <w:b/>
          <w:bCs/>
          <w:sz w:val="22"/>
          <w:szCs w:val="22"/>
          <w:lang w:val="es-CO"/>
        </w:rPr>
        <w:t>(</w:t>
      </w:r>
      <w:r w:rsidRPr="00B10A0D">
        <w:rPr>
          <w:rFonts w:ascii="Arial" w:eastAsia="Arial" w:hAnsi="Arial" w:cs="Arial"/>
          <w:sz w:val="22"/>
          <w:szCs w:val="22"/>
          <w:lang w:val="es-CO"/>
        </w:rPr>
        <w:t>IPC-F) 15</w:t>
      </w:r>
      <w:r w:rsidR="005A4AD6" w:rsidRPr="00B10A0D">
        <w:rPr>
          <w:rFonts w:ascii="Arial" w:eastAsia="Arial" w:hAnsi="Arial" w:cs="Arial"/>
          <w:sz w:val="22"/>
          <w:szCs w:val="22"/>
          <w:lang w:val="es-CO"/>
        </w:rPr>
        <w:t>4,07</w:t>
      </w:r>
    </w:p>
    <w:p w14:paraId="733D3BEE" w14:textId="703F7991" w:rsidR="006746E7" w:rsidRPr="009E08BC" w:rsidRDefault="00B23247">
      <w:pPr>
        <w:jc w:val="center"/>
        <w:rPr>
          <w:rFonts w:ascii="Arial" w:eastAsia="Arial" w:hAnsi="Arial" w:cs="Arial"/>
          <w:sz w:val="22"/>
          <w:szCs w:val="22"/>
          <w:lang w:val="es-CO"/>
        </w:rPr>
      </w:pPr>
      <w:r w:rsidRPr="009E08BC">
        <w:rPr>
          <w:rFonts w:ascii="Arial" w:eastAsia="Arial" w:hAnsi="Arial" w:cs="Arial"/>
          <w:sz w:val="22"/>
          <w:szCs w:val="22"/>
          <w:lang w:val="es-CO"/>
        </w:rPr>
        <w:t>VP= (VH) $500.000 --------------------------- = $</w:t>
      </w:r>
      <w:r w:rsidRPr="009E08BC">
        <w:rPr>
          <w:rFonts w:ascii="Arial" w:hAnsi="Arial" w:cs="Arial"/>
          <w:sz w:val="22"/>
          <w:szCs w:val="22"/>
          <w:lang w:val="es-CO"/>
        </w:rPr>
        <w:t>11</w:t>
      </w:r>
      <w:r w:rsidR="005A4AD6" w:rsidRPr="009E08BC">
        <w:rPr>
          <w:rFonts w:ascii="Arial" w:hAnsi="Arial" w:cs="Arial"/>
          <w:sz w:val="22"/>
          <w:szCs w:val="22"/>
          <w:lang w:val="es-CO"/>
        </w:rPr>
        <w:t>1.6</w:t>
      </w:r>
      <w:r w:rsidR="009B51F2">
        <w:rPr>
          <w:rFonts w:ascii="Arial" w:hAnsi="Arial" w:cs="Arial"/>
          <w:sz w:val="22"/>
          <w:szCs w:val="22"/>
          <w:lang w:val="es-CO"/>
        </w:rPr>
        <w:t>4</w:t>
      </w:r>
      <w:r w:rsidR="005A4AD6" w:rsidRPr="009E08BC">
        <w:rPr>
          <w:rFonts w:ascii="Arial" w:hAnsi="Arial" w:cs="Arial"/>
          <w:sz w:val="22"/>
          <w:szCs w:val="22"/>
          <w:lang w:val="es-CO"/>
        </w:rPr>
        <w:t>4.928</w:t>
      </w:r>
    </w:p>
    <w:p w14:paraId="0F310C67" w14:textId="77777777" w:rsidR="006746E7" w:rsidRPr="009E08BC" w:rsidRDefault="00B23247">
      <w:pPr>
        <w:jc w:val="center"/>
        <w:rPr>
          <w:rFonts w:ascii="Arial" w:eastAsia="Arial" w:hAnsi="Arial" w:cs="Arial"/>
          <w:sz w:val="22"/>
          <w:szCs w:val="22"/>
          <w:lang w:val="es-CO"/>
        </w:rPr>
      </w:pPr>
      <w:r w:rsidRPr="009E08BC">
        <w:rPr>
          <w:rFonts w:ascii="Arial" w:eastAsia="Arial" w:hAnsi="Arial" w:cs="Arial"/>
          <w:sz w:val="22"/>
          <w:szCs w:val="22"/>
          <w:lang w:val="es-CO"/>
        </w:rPr>
        <w:t xml:space="preserve">       (IPC-I) 0,69</w:t>
      </w:r>
    </w:p>
    <w:p w14:paraId="67B59751" w14:textId="77777777" w:rsidR="006746E7" w:rsidRPr="009E08BC" w:rsidRDefault="006746E7">
      <w:pPr>
        <w:widowControl w:val="0"/>
        <w:tabs>
          <w:tab w:val="left" w:pos="4253"/>
        </w:tabs>
        <w:jc w:val="both"/>
        <w:rPr>
          <w:rFonts w:ascii="Arial" w:eastAsia="Arial" w:hAnsi="Arial" w:cs="Arial"/>
          <w:sz w:val="22"/>
          <w:szCs w:val="22"/>
          <w:lang w:val="es-CO"/>
        </w:rPr>
      </w:pPr>
    </w:p>
    <w:p w14:paraId="3C7AFEB4" w14:textId="77777777" w:rsidR="006746E7" w:rsidRPr="009E08BC" w:rsidRDefault="00B23247">
      <w:pPr>
        <w:widowControl w:val="0"/>
        <w:tabs>
          <w:tab w:val="left" w:pos="4253"/>
        </w:tabs>
        <w:jc w:val="both"/>
        <w:rPr>
          <w:rFonts w:ascii="Arial" w:eastAsia="Arial" w:hAnsi="Arial" w:cs="Arial"/>
          <w:sz w:val="22"/>
          <w:szCs w:val="22"/>
        </w:rPr>
      </w:pPr>
      <w:r w:rsidRPr="009E08BC">
        <w:rPr>
          <w:rFonts w:ascii="Arial" w:eastAsia="Arial" w:hAnsi="Arial" w:cs="Arial"/>
          <w:sz w:val="22"/>
          <w:szCs w:val="22"/>
        </w:rPr>
        <w:t>Siendo (VP) el valor presente de la sanción, y (VH) al valor de la multa establecida en el Decreto Ley 2610 de 1979. Los índices son los acumulados de los Índices de Precios al Consumidor, siendo entonces el IPC (índice inicial) el correspondiente al mes de octubre de 1979 (fecha de entrada en vigencia el Decreto 2610 de 1979, que es igual a “1”) y el IPC (índice final) que corresponde al último acumulado, certificado mensualmente por el DANE, para aplicar en el momento en que se expide el acto administrativo sancionatorio, el cual se puede corroborar en su página web: http://www.dane.gov.co/.</w:t>
      </w:r>
    </w:p>
    <w:p w14:paraId="558A1808" w14:textId="77777777" w:rsidR="006746E7" w:rsidRPr="009E08BC" w:rsidRDefault="006746E7">
      <w:pPr>
        <w:tabs>
          <w:tab w:val="left" w:pos="4253"/>
          <w:tab w:val="right" w:pos="8504"/>
        </w:tabs>
        <w:jc w:val="both"/>
        <w:rPr>
          <w:rFonts w:ascii="Arial" w:eastAsia="Arial" w:hAnsi="Arial" w:cs="Arial"/>
          <w:sz w:val="22"/>
          <w:szCs w:val="22"/>
        </w:rPr>
      </w:pPr>
    </w:p>
    <w:p w14:paraId="565E1D42" w14:textId="0A6C00D8" w:rsidR="009E08BC" w:rsidRPr="009E08BC" w:rsidRDefault="009E08BC" w:rsidP="009E08BC">
      <w:pPr>
        <w:jc w:val="both"/>
        <w:rPr>
          <w:rFonts w:ascii="Arial" w:hAnsi="Arial" w:cs="Arial"/>
          <w:sz w:val="22"/>
          <w:szCs w:val="22"/>
          <w:lang w:val="es-CO" w:eastAsia="es-ES"/>
        </w:rPr>
      </w:pPr>
      <w:r w:rsidRPr="009E08BC">
        <w:rPr>
          <w:rFonts w:ascii="Arial" w:hAnsi="Arial" w:cs="Arial"/>
          <w:sz w:val="22"/>
          <w:szCs w:val="22"/>
        </w:rPr>
        <w:t xml:space="preserve">Por lo tanto, de acuerdo con la formula enunciada anteriormente, el valor correspondiente a los DIEZ MIL PESOS ($10.000) M/CTE, que indexados a la fecha corresponden a </w:t>
      </w:r>
      <w:r w:rsidRPr="009E08BC">
        <w:rPr>
          <w:rFonts w:ascii="Arial" w:hAnsi="Arial" w:cs="Arial"/>
          <w:sz w:val="22"/>
          <w:szCs w:val="22"/>
          <w:lang w:val="es-CO" w:eastAsia="es-ES"/>
        </w:rPr>
        <w:t>DOS MILLONES DOSCIENTOS TREINTA Y DOS MIL OCHOCIENTOS NOVENTA Y NUEVE PESOS</w:t>
      </w:r>
      <w:r w:rsidRPr="009E08BC">
        <w:rPr>
          <w:rFonts w:ascii="Arial" w:hAnsi="Arial" w:cs="Arial"/>
          <w:sz w:val="22"/>
          <w:szCs w:val="22"/>
          <w:lang w:val="es-CO"/>
        </w:rPr>
        <w:t xml:space="preserve"> </w:t>
      </w:r>
      <w:r w:rsidRPr="009E08BC">
        <w:rPr>
          <w:rFonts w:ascii="Arial" w:hAnsi="Arial" w:cs="Arial"/>
          <w:sz w:val="22"/>
          <w:szCs w:val="22"/>
        </w:rPr>
        <w:t xml:space="preserve">($2.232.899) M/CTE, y los QUINIENTOS MIL PESOS ($500.000) M/CTE, que corresponden a </w:t>
      </w:r>
      <w:r w:rsidRPr="009E08BC">
        <w:rPr>
          <w:rFonts w:ascii="Arial" w:hAnsi="Arial" w:cs="Arial"/>
          <w:sz w:val="22"/>
          <w:szCs w:val="22"/>
          <w:lang w:val="es-CO" w:eastAsia="es-ES"/>
        </w:rPr>
        <w:t xml:space="preserve">CIENTO ONCE MILLONES SEISCIENTOS </w:t>
      </w:r>
      <w:r w:rsidR="009B51F2">
        <w:rPr>
          <w:rFonts w:ascii="Arial" w:hAnsi="Arial" w:cs="Arial"/>
          <w:sz w:val="22"/>
          <w:szCs w:val="22"/>
          <w:lang w:val="es-CO" w:eastAsia="es-ES"/>
        </w:rPr>
        <w:t>CUARENTA</w:t>
      </w:r>
      <w:r w:rsidRPr="009E08BC">
        <w:rPr>
          <w:rFonts w:ascii="Arial" w:hAnsi="Arial" w:cs="Arial"/>
          <w:sz w:val="22"/>
          <w:szCs w:val="22"/>
          <w:lang w:val="es-CO" w:eastAsia="es-ES"/>
        </w:rPr>
        <w:t xml:space="preserve"> Y CUATRO MIL NOVECIENTOS VEINTIOCHO PESOS</w:t>
      </w:r>
      <w:r w:rsidRPr="009E08BC">
        <w:rPr>
          <w:rFonts w:ascii="Arial" w:hAnsi="Arial" w:cs="Arial"/>
          <w:sz w:val="22"/>
          <w:szCs w:val="22"/>
          <w:lang w:val="es-CO"/>
        </w:rPr>
        <w:t xml:space="preserve"> </w:t>
      </w:r>
      <w:r w:rsidRPr="009E08BC">
        <w:rPr>
          <w:rFonts w:ascii="Arial" w:hAnsi="Arial" w:cs="Arial"/>
          <w:sz w:val="22"/>
          <w:szCs w:val="22"/>
        </w:rPr>
        <w:t>($</w:t>
      </w:r>
      <w:r w:rsidRPr="009B51F2">
        <w:rPr>
          <w:rFonts w:ascii="Arial" w:hAnsi="Arial" w:cs="Arial"/>
          <w:sz w:val="22"/>
          <w:szCs w:val="22"/>
          <w:lang w:val="es-CO"/>
        </w:rPr>
        <w:t>111.6</w:t>
      </w:r>
      <w:r w:rsidR="009B51F2">
        <w:rPr>
          <w:rFonts w:ascii="Arial" w:hAnsi="Arial" w:cs="Arial"/>
          <w:sz w:val="22"/>
          <w:szCs w:val="22"/>
          <w:lang w:val="es-CO"/>
        </w:rPr>
        <w:t>4</w:t>
      </w:r>
      <w:r w:rsidRPr="009B51F2">
        <w:rPr>
          <w:rFonts w:ascii="Arial" w:hAnsi="Arial" w:cs="Arial"/>
          <w:sz w:val="22"/>
          <w:szCs w:val="22"/>
          <w:lang w:val="es-CO"/>
        </w:rPr>
        <w:t>4.928</w:t>
      </w:r>
      <w:r w:rsidRPr="009E08BC">
        <w:rPr>
          <w:rFonts w:ascii="Arial" w:hAnsi="Arial" w:cs="Arial"/>
          <w:sz w:val="22"/>
          <w:szCs w:val="22"/>
        </w:rPr>
        <w:t>) M/CTE, lo anterior nos ilustra respecto de los límites de la sanción, más no respecto de la multa a imponer.</w:t>
      </w:r>
    </w:p>
    <w:p w14:paraId="09814CF3" w14:textId="77777777" w:rsidR="006746E7" w:rsidRPr="009E08BC" w:rsidRDefault="006746E7">
      <w:pPr>
        <w:pBdr>
          <w:top w:val="nil"/>
          <w:left w:val="nil"/>
          <w:bottom w:val="nil"/>
          <w:right w:val="nil"/>
          <w:between w:val="nil"/>
        </w:pBdr>
        <w:tabs>
          <w:tab w:val="left" w:pos="4253"/>
          <w:tab w:val="center" w:pos="4419"/>
          <w:tab w:val="right" w:pos="8838"/>
        </w:tabs>
        <w:jc w:val="both"/>
        <w:rPr>
          <w:rFonts w:ascii="Arial" w:eastAsia="Arial" w:hAnsi="Arial" w:cs="Arial"/>
        </w:rPr>
      </w:pPr>
    </w:p>
    <w:p w14:paraId="4071CE82" w14:textId="33A94F86" w:rsidR="006746E7" w:rsidRPr="009E08BC" w:rsidRDefault="00B23247">
      <w:pPr>
        <w:tabs>
          <w:tab w:val="left" w:pos="3716"/>
        </w:tabs>
        <w:jc w:val="both"/>
        <w:rPr>
          <w:rFonts w:ascii="Arial" w:eastAsia="Arial" w:hAnsi="Arial" w:cs="Arial"/>
          <w:sz w:val="22"/>
          <w:szCs w:val="22"/>
        </w:rPr>
      </w:pPr>
      <w:r w:rsidRPr="009E08BC">
        <w:rPr>
          <w:rFonts w:ascii="Arial" w:eastAsia="Arial" w:hAnsi="Arial" w:cs="Arial"/>
          <w:sz w:val="22"/>
          <w:szCs w:val="22"/>
          <w:highlight w:val="white"/>
        </w:rPr>
        <w:t xml:space="preserve">Por lo anterior, </w:t>
      </w:r>
      <w:r w:rsidRPr="009E08BC">
        <w:rPr>
          <w:rFonts w:ascii="Arial" w:eastAsia="Arial" w:hAnsi="Arial" w:cs="Arial"/>
          <w:sz w:val="22"/>
          <w:szCs w:val="22"/>
        </w:rPr>
        <w:t>teniendo en cuenta que en el derecho administrativo el bien jurídico protegido es el “</w:t>
      </w:r>
      <w:r w:rsidRPr="009E08BC">
        <w:rPr>
          <w:rFonts w:ascii="Arial" w:eastAsia="Arial" w:hAnsi="Arial" w:cs="Arial"/>
          <w:i/>
          <w:iCs/>
          <w:sz w:val="22"/>
          <w:szCs w:val="22"/>
        </w:rPr>
        <w:t>cumplimiento de la legalidad</w:t>
      </w:r>
      <w:r w:rsidRPr="009E08BC">
        <w:rPr>
          <w:rFonts w:ascii="Arial" w:eastAsia="Arial" w:hAnsi="Arial" w:cs="Arial"/>
          <w:sz w:val="22"/>
          <w:szCs w:val="22"/>
        </w:rPr>
        <w:t>”, la infracción a una disposición normativa (de carácter legal, reglamentario, regulatorio e incluso contractual) representa en sí misma la antijuridicidad de la conducta y, en consecuencia, el “</w:t>
      </w:r>
      <w:r w:rsidRPr="009E08BC">
        <w:rPr>
          <w:rFonts w:ascii="Arial" w:eastAsia="Arial" w:hAnsi="Arial" w:cs="Arial"/>
          <w:i/>
          <w:iCs/>
          <w:sz w:val="22"/>
          <w:szCs w:val="22"/>
        </w:rPr>
        <w:t xml:space="preserve">reproche recae sobre la mera </w:t>
      </w:r>
      <w:r w:rsidRPr="009E08BC">
        <w:rPr>
          <w:rFonts w:ascii="Arial" w:eastAsia="Arial" w:hAnsi="Arial" w:cs="Arial"/>
          <w:i/>
          <w:iCs/>
          <w:sz w:val="22"/>
          <w:szCs w:val="22"/>
        </w:rPr>
        <w:lastRenderedPageBreak/>
        <w:t>conducta</w:t>
      </w:r>
      <w:r w:rsidRPr="009E08BC">
        <w:rPr>
          <w:rFonts w:ascii="Arial" w:eastAsia="Arial" w:hAnsi="Arial" w:cs="Arial"/>
          <w:sz w:val="22"/>
          <w:szCs w:val="22"/>
        </w:rPr>
        <w:t>”, o en otras palabras, sobre el incumplimiento de la norma</w:t>
      </w:r>
      <w:r w:rsidRPr="009E08BC">
        <w:rPr>
          <w:rFonts w:ascii="Arial" w:eastAsia="Arial" w:hAnsi="Arial" w:cs="Arial"/>
          <w:sz w:val="22"/>
          <w:szCs w:val="22"/>
          <w:vertAlign w:val="superscript"/>
        </w:rPr>
        <w:footnoteReference w:id="2"/>
      </w:r>
      <w:r w:rsidRPr="009E08BC">
        <w:rPr>
          <w:rFonts w:ascii="Arial" w:eastAsia="Arial" w:hAnsi="Arial" w:cs="Arial"/>
          <w:sz w:val="22"/>
          <w:szCs w:val="22"/>
        </w:rPr>
        <w:t xml:space="preserve">; elemento que se encuentra plenamente demostrado frente a los cargos sancionados en la presente investigación administrativa de seguimiento, al no haberse acogido al cumplimiento de las órdenes de hacer </w:t>
      </w:r>
      <w:r w:rsidRPr="009E08BC">
        <w:rPr>
          <w:rFonts w:ascii="Arial" w:eastAsia="Arial" w:hAnsi="Arial" w:cs="Arial"/>
          <w:sz w:val="22"/>
          <w:szCs w:val="22"/>
          <w:highlight w:val="white"/>
        </w:rPr>
        <w:t xml:space="preserve">y ante la ausencia de prueba en el expediente que confirme que las deficiencias constructivas hayan sido subsanadas de forma definitiva por parte de la responsable, atendiendo los criterios de razonabilidad previstos en el artículo 50 de la Ley 1437 de 2011, esta Dirección impondrá sanción </w:t>
      </w:r>
      <w:r w:rsidRPr="009E08BC">
        <w:rPr>
          <w:rFonts w:ascii="Arial" w:eastAsia="Arial" w:hAnsi="Arial" w:cs="Arial"/>
          <w:sz w:val="22"/>
          <w:szCs w:val="22"/>
        </w:rPr>
        <w:t>por valor de DIECISIETE MIL QUINIENTOS PESOS ($17.500) M/CTE.</w:t>
      </w:r>
      <w:r w:rsidR="001A4F89" w:rsidRPr="009E08BC">
        <w:rPr>
          <w:rFonts w:ascii="Arial" w:eastAsia="Arial" w:hAnsi="Arial" w:cs="Arial"/>
          <w:sz w:val="22"/>
          <w:szCs w:val="22"/>
        </w:rPr>
        <w:t>,</w:t>
      </w:r>
      <w:r w:rsidRPr="009E08BC">
        <w:rPr>
          <w:rFonts w:ascii="Arial" w:eastAsia="Arial" w:hAnsi="Arial" w:cs="Arial"/>
          <w:sz w:val="22"/>
          <w:szCs w:val="22"/>
        </w:rPr>
        <w:t xml:space="preserve"> debiendo ser indexados según lo dicho y la formula anteriormente enunciada, así: </w:t>
      </w:r>
    </w:p>
    <w:p w14:paraId="690C2EF6" w14:textId="77777777" w:rsidR="006746E7" w:rsidRPr="009E08BC" w:rsidRDefault="006746E7">
      <w:pPr>
        <w:jc w:val="both"/>
        <w:rPr>
          <w:rFonts w:ascii="Arial" w:eastAsia="Arial" w:hAnsi="Arial" w:cs="Arial"/>
          <w:sz w:val="22"/>
          <w:szCs w:val="22"/>
        </w:rPr>
      </w:pPr>
    </w:p>
    <w:p w14:paraId="13727620" w14:textId="3245403F" w:rsidR="006746E7" w:rsidRPr="00B10A0D" w:rsidRDefault="00B23247">
      <w:pPr>
        <w:jc w:val="center"/>
        <w:rPr>
          <w:rFonts w:ascii="Arial" w:eastAsia="Arial" w:hAnsi="Arial" w:cs="Arial"/>
          <w:sz w:val="22"/>
          <w:szCs w:val="22"/>
          <w:lang w:val="es-CO"/>
        </w:rPr>
      </w:pPr>
      <w:r w:rsidRPr="009E08BC">
        <w:rPr>
          <w:rFonts w:ascii="Arial" w:eastAsia="Arial" w:hAnsi="Arial" w:cs="Arial"/>
          <w:sz w:val="22"/>
          <w:szCs w:val="22"/>
        </w:rPr>
        <w:t xml:space="preserve">        </w:t>
      </w:r>
      <w:r w:rsidRPr="00B10A0D">
        <w:rPr>
          <w:rFonts w:ascii="Arial" w:eastAsia="Arial" w:hAnsi="Arial" w:cs="Arial"/>
          <w:sz w:val="22"/>
          <w:szCs w:val="22"/>
          <w:lang w:val="es-CO"/>
        </w:rPr>
        <w:t>(IPC-F) 15</w:t>
      </w:r>
      <w:r w:rsidR="005A4AD6" w:rsidRPr="00B10A0D">
        <w:rPr>
          <w:rFonts w:ascii="Arial" w:eastAsia="Arial" w:hAnsi="Arial" w:cs="Arial"/>
          <w:sz w:val="22"/>
          <w:szCs w:val="22"/>
          <w:lang w:val="es-CO"/>
        </w:rPr>
        <w:t>4,07</w:t>
      </w:r>
    </w:p>
    <w:p w14:paraId="292A6C8A" w14:textId="0C97B812" w:rsidR="006746E7" w:rsidRPr="00B10A0D" w:rsidRDefault="00B23247">
      <w:pPr>
        <w:jc w:val="center"/>
        <w:rPr>
          <w:rFonts w:ascii="Arial" w:eastAsia="Arial" w:hAnsi="Arial" w:cs="Arial"/>
          <w:sz w:val="22"/>
          <w:szCs w:val="22"/>
          <w:lang w:val="es-CO"/>
        </w:rPr>
      </w:pPr>
      <w:r w:rsidRPr="00B10A0D">
        <w:rPr>
          <w:rFonts w:ascii="Arial" w:eastAsia="Arial" w:hAnsi="Arial" w:cs="Arial"/>
          <w:sz w:val="22"/>
          <w:szCs w:val="22"/>
          <w:lang w:val="es-CO"/>
        </w:rPr>
        <w:t xml:space="preserve">VP= (VH) $17.500 --------------------------- = </w:t>
      </w:r>
      <w:r w:rsidR="005A4AD6" w:rsidRPr="00B10A0D">
        <w:rPr>
          <w:rFonts w:ascii="Arial" w:eastAsia="Arial" w:hAnsi="Arial" w:cs="Arial"/>
          <w:sz w:val="22"/>
          <w:szCs w:val="22"/>
          <w:lang w:val="es-CO"/>
        </w:rPr>
        <w:t>$</w:t>
      </w:r>
      <w:r w:rsidR="005A4AD6" w:rsidRPr="00B10A0D">
        <w:rPr>
          <w:rFonts w:ascii="Arial" w:hAnsi="Arial" w:cs="Arial"/>
          <w:sz w:val="22"/>
          <w:szCs w:val="22"/>
          <w:lang w:val="es-CO"/>
        </w:rPr>
        <w:t>3.907.572</w:t>
      </w:r>
    </w:p>
    <w:p w14:paraId="5B92A57A" w14:textId="77777777" w:rsidR="006746E7" w:rsidRPr="00B10A0D" w:rsidRDefault="00B23247">
      <w:pPr>
        <w:jc w:val="center"/>
        <w:rPr>
          <w:rFonts w:ascii="Arial" w:eastAsia="Arial" w:hAnsi="Arial" w:cs="Arial"/>
          <w:sz w:val="22"/>
          <w:szCs w:val="22"/>
          <w:lang w:val="es-CO"/>
        </w:rPr>
      </w:pPr>
      <w:r w:rsidRPr="00B10A0D">
        <w:rPr>
          <w:rFonts w:ascii="Arial" w:eastAsia="Arial" w:hAnsi="Arial" w:cs="Arial"/>
          <w:sz w:val="22"/>
          <w:szCs w:val="22"/>
          <w:lang w:val="es-CO"/>
        </w:rPr>
        <w:t xml:space="preserve">      (IPC-I) 0,69</w:t>
      </w:r>
    </w:p>
    <w:p w14:paraId="23E30DC4" w14:textId="77777777" w:rsidR="006746E7" w:rsidRPr="00B10A0D" w:rsidRDefault="006746E7">
      <w:pPr>
        <w:jc w:val="both"/>
        <w:rPr>
          <w:rFonts w:ascii="Arial" w:eastAsia="Arial" w:hAnsi="Arial" w:cs="Arial"/>
          <w:sz w:val="22"/>
          <w:szCs w:val="22"/>
          <w:lang w:val="es-CO"/>
        </w:rPr>
      </w:pPr>
    </w:p>
    <w:p w14:paraId="5893E6E0" w14:textId="11358DF1" w:rsidR="006746E7" w:rsidRPr="009E08BC" w:rsidRDefault="00B23247">
      <w:pPr>
        <w:jc w:val="both"/>
        <w:rPr>
          <w:rFonts w:ascii="Arial" w:eastAsia="Arial" w:hAnsi="Arial" w:cs="Arial"/>
          <w:sz w:val="22"/>
          <w:szCs w:val="22"/>
          <w:highlight w:val="white"/>
          <w:lang w:val="es-CO"/>
        </w:rPr>
      </w:pPr>
      <w:r w:rsidRPr="009E08BC">
        <w:rPr>
          <w:rFonts w:ascii="Arial" w:eastAsia="Arial" w:hAnsi="Arial" w:cs="Arial"/>
          <w:sz w:val="22"/>
          <w:szCs w:val="22"/>
        </w:rPr>
        <w:t xml:space="preserve">Que, conforme a la liquidación antes citada, el valor de la multa a imponer a la sociedad enajenadora HECHO CONCRETO S.A.S, identificada con NIT. 900.354.896-6, </w:t>
      </w:r>
      <w:r w:rsidRPr="009E08BC">
        <w:rPr>
          <w:rFonts w:ascii="Arial" w:eastAsia="Arial" w:hAnsi="Arial" w:cs="Arial"/>
          <w:sz w:val="22"/>
          <w:szCs w:val="22"/>
          <w:highlight w:val="white"/>
        </w:rPr>
        <w:t xml:space="preserve">por incumplimiento de la orden de hacer ya mencionada será de </w:t>
      </w:r>
      <w:r w:rsidR="005A4AD6" w:rsidRPr="009E08BC">
        <w:rPr>
          <w:rFonts w:ascii="Arial" w:eastAsia="Arial" w:hAnsi="Arial" w:cs="Arial"/>
          <w:sz w:val="22"/>
          <w:szCs w:val="22"/>
          <w:highlight w:val="white"/>
          <w:lang w:val="es-CO"/>
        </w:rPr>
        <w:t xml:space="preserve">TRES MILLONES NOVECIENTOS SIETE MIL QUINIENTOS SETENTA Y DOS PESOS </w:t>
      </w:r>
      <w:r w:rsidRPr="009E08BC">
        <w:rPr>
          <w:rFonts w:ascii="Arial" w:eastAsia="Arial" w:hAnsi="Arial" w:cs="Arial"/>
          <w:sz w:val="22"/>
          <w:szCs w:val="22"/>
          <w:highlight w:val="white"/>
        </w:rPr>
        <w:t>($</w:t>
      </w:r>
      <w:r w:rsidR="005A4AD6" w:rsidRPr="009B51F2">
        <w:rPr>
          <w:rFonts w:ascii="Arial" w:hAnsi="Arial" w:cs="Arial"/>
          <w:sz w:val="22"/>
          <w:szCs w:val="22"/>
          <w:lang w:val="es-CO"/>
        </w:rPr>
        <w:t>3.907.572</w:t>
      </w:r>
      <w:r w:rsidRPr="009E08BC">
        <w:rPr>
          <w:rFonts w:ascii="Arial" w:eastAsia="Arial" w:hAnsi="Arial" w:cs="Arial"/>
          <w:sz w:val="22"/>
          <w:szCs w:val="22"/>
          <w:highlight w:val="white"/>
        </w:rPr>
        <w:t>) M/CTE., s</w:t>
      </w:r>
      <w:r w:rsidRPr="009E08BC">
        <w:rPr>
          <w:rFonts w:ascii="Arial" w:eastAsia="Arial" w:hAnsi="Arial" w:cs="Arial"/>
          <w:sz w:val="22"/>
          <w:szCs w:val="22"/>
        </w:rPr>
        <w:t xml:space="preserve">in perjuicio de que vuelvan a ser impuestas nuevas multas de continuar en incumplimiento.    </w:t>
      </w:r>
    </w:p>
    <w:p w14:paraId="3D0D14F0" w14:textId="77777777" w:rsidR="006746E7" w:rsidRPr="009E08BC" w:rsidRDefault="006746E7">
      <w:pPr>
        <w:rPr>
          <w:rFonts w:ascii="Arial" w:eastAsia="Arial" w:hAnsi="Arial" w:cs="Arial"/>
          <w:b/>
          <w:bCs/>
          <w:sz w:val="22"/>
          <w:szCs w:val="22"/>
        </w:rPr>
      </w:pPr>
    </w:p>
    <w:p w14:paraId="39E914CD" w14:textId="77777777" w:rsidR="006746E7" w:rsidRPr="009E08BC" w:rsidRDefault="00B23247">
      <w:pPr>
        <w:jc w:val="both"/>
        <w:rPr>
          <w:rFonts w:ascii="Arial" w:eastAsia="Arial" w:hAnsi="Arial" w:cs="Arial"/>
          <w:b/>
          <w:bCs/>
          <w:sz w:val="22"/>
          <w:szCs w:val="22"/>
          <w:highlight w:val="white"/>
        </w:rPr>
      </w:pPr>
      <w:r w:rsidRPr="009E08BC">
        <w:rPr>
          <w:rFonts w:ascii="Arial" w:eastAsia="Arial" w:hAnsi="Arial" w:cs="Arial"/>
          <w:sz w:val="22"/>
          <w:szCs w:val="22"/>
          <w:highlight w:val="white"/>
        </w:rPr>
        <w:t>En mérito de lo expuesto este Despacho,</w:t>
      </w:r>
      <w:r w:rsidRPr="009E08BC">
        <w:rPr>
          <w:rFonts w:ascii="Arial" w:eastAsia="Arial" w:hAnsi="Arial" w:cs="Arial"/>
          <w:b/>
          <w:bCs/>
          <w:sz w:val="22"/>
          <w:szCs w:val="22"/>
          <w:highlight w:val="white"/>
        </w:rPr>
        <w:t xml:space="preserve"> </w:t>
      </w:r>
    </w:p>
    <w:p w14:paraId="3DCFDF9A" w14:textId="77777777" w:rsidR="006746E7" w:rsidRPr="009E08BC" w:rsidRDefault="006746E7">
      <w:pPr>
        <w:jc w:val="both"/>
        <w:rPr>
          <w:rFonts w:ascii="Arial" w:eastAsia="Arial" w:hAnsi="Arial" w:cs="Arial"/>
          <w:sz w:val="22"/>
          <w:szCs w:val="22"/>
        </w:rPr>
      </w:pPr>
    </w:p>
    <w:p w14:paraId="6AC1FCB2" w14:textId="77777777" w:rsidR="006746E7" w:rsidRPr="009E08BC" w:rsidRDefault="00B23247">
      <w:pPr>
        <w:jc w:val="center"/>
        <w:rPr>
          <w:rFonts w:ascii="Arial" w:eastAsia="Arial" w:hAnsi="Arial" w:cs="Arial"/>
          <w:b/>
          <w:bCs/>
          <w:sz w:val="22"/>
          <w:szCs w:val="22"/>
          <w:highlight w:val="white"/>
        </w:rPr>
      </w:pPr>
      <w:r w:rsidRPr="009E08BC">
        <w:rPr>
          <w:rFonts w:ascii="Arial" w:eastAsia="Arial" w:hAnsi="Arial" w:cs="Arial"/>
          <w:b/>
          <w:bCs/>
          <w:sz w:val="22"/>
          <w:szCs w:val="22"/>
          <w:highlight w:val="white"/>
        </w:rPr>
        <w:t>RESUELVE</w:t>
      </w:r>
    </w:p>
    <w:p w14:paraId="2F082C21" w14:textId="77777777" w:rsidR="006746E7" w:rsidRPr="009E08BC" w:rsidRDefault="006746E7">
      <w:pPr>
        <w:jc w:val="both"/>
        <w:rPr>
          <w:rFonts w:ascii="Arial" w:eastAsia="Arial" w:hAnsi="Arial" w:cs="Arial"/>
          <w:sz w:val="22"/>
          <w:szCs w:val="22"/>
        </w:rPr>
      </w:pPr>
    </w:p>
    <w:p w14:paraId="6791C44E" w14:textId="6516702B" w:rsidR="006746E7" w:rsidRPr="009E08BC" w:rsidRDefault="00B23247">
      <w:pPr>
        <w:jc w:val="both"/>
        <w:rPr>
          <w:rFonts w:ascii="Arial" w:eastAsia="Arial" w:hAnsi="Arial" w:cs="Arial"/>
          <w:sz w:val="22"/>
          <w:szCs w:val="22"/>
        </w:rPr>
      </w:pPr>
      <w:r w:rsidRPr="009E08BC">
        <w:rPr>
          <w:rFonts w:ascii="Arial" w:eastAsia="Arial" w:hAnsi="Arial" w:cs="Arial"/>
          <w:b/>
          <w:bCs/>
          <w:sz w:val="22"/>
          <w:szCs w:val="22"/>
        </w:rPr>
        <w:t>ARTICULO PRIMERO:</w:t>
      </w:r>
      <w:r w:rsidRPr="009E08BC">
        <w:rPr>
          <w:rFonts w:ascii="Arial" w:eastAsia="Arial" w:hAnsi="Arial" w:cs="Arial"/>
          <w:sz w:val="22"/>
          <w:szCs w:val="22"/>
        </w:rPr>
        <w:t xml:space="preserve"> IMPONER a la sociedad enajenadora HECHO CONCRETO S.A.S, identificada con NIT. 900.354.896-6, multa de </w:t>
      </w:r>
      <w:r w:rsidR="001A4F89" w:rsidRPr="009E08BC">
        <w:rPr>
          <w:rFonts w:ascii="Arial" w:eastAsia="Arial" w:hAnsi="Arial" w:cs="Arial"/>
          <w:sz w:val="22"/>
          <w:szCs w:val="22"/>
        </w:rPr>
        <w:t>DIECISIETE MIL QUINIENTOS PESOS ($17.500) M/CTE.</w:t>
      </w:r>
      <w:r w:rsidRPr="009E08BC">
        <w:rPr>
          <w:rFonts w:ascii="Arial" w:eastAsia="Arial" w:hAnsi="Arial" w:cs="Arial"/>
          <w:sz w:val="22"/>
          <w:szCs w:val="22"/>
          <w:highlight w:val="white"/>
        </w:rPr>
        <w:t xml:space="preserve">, que indexados a la fecha corresponden a </w:t>
      </w:r>
      <w:r w:rsidR="005A4AD6" w:rsidRPr="009E08BC">
        <w:rPr>
          <w:rFonts w:ascii="Arial" w:eastAsia="Arial" w:hAnsi="Arial" w:cs="Arial"/>
          <w:sz w:val="22"/>
          <w:szCs w:val="22"/>
          <w:highlight w:val="white"/>
          <w:lang w:val="es-CO"/>
        </w:rPr>
        <w:t xml:space="preserve">TRES MILLONES NOVECIENTOS SIETE MIL QUINIENTOS SETENTA Y DOS PESOS </w:t>
      </w:r>
      <w:r w:rsidR="005A4AD6" w:rsidRPr="009E08BC">
        <w:rPr>
          <w:rFonts w:ascii="Arial" w:eastAsia="Arial" w:hAnsi="Arial" w:cs="Arial"/>
          <w:sz w:val="22"/>
          <w:szCs w:val="22"/>
          <w:highlight w:val="white"/>
        </w:rPr>
        <w:t>($</w:t>
      </w:r>
      <w:r w:rsidR="005A4AD6" w:rsidRPr="009B51F2">
        <w:rPr>
          <w:rFonts w:ascii="Arial" w:hAnsi="Arial" w:cs="Arial"/>
          <w:sz w:val="22"/>
          <w:szCs w:val="22"/>
          <w:lang w:val="es-CO"/>
        </w:rPr>
        <w:t>3.907.572</w:t>
      </w:r>
      <w:r w:rsidR="005A4AD6" w:rsidRPr="009E08BC">
        <w:rPr>
          <w:rFonts w:ascii="Arial" w:eastAsia="Arial" w:hAnsi="Arial" w:cs="Arial"/>
          <w:sz w:val="22"/>
          <w:szCs w:val="22"/>
          <w:highlight w:val="white"/>
        </w:rPr>
        <w:t xml:space="preserve">) </w:t>
      </w:r>
      <w:r w:rsidR="001A4F89" w:rsidRPr="009E08BC">
        <w:rPr>
          <w:rFonts w:ascii="Arial" w:eastAsia="Arial" w:hAnsi="Arial" w:cs="Arial"/>
          <w:sz w:val="22"/>
          <w:szCs w:val="22"/>
          <w:highlight w:val="white"/>
        </w:rPr>
        <w:t>M/CTE.</w:t>
      </w:r>
      <w:r w:rsidRPr="009E08BC">
        <w:rPr>
          <w:rFonts w:ascii="Arial" w:eastAsia="Arial" w:hAnsi="Arial" w:cs="Arial"/>
          <w:sz w:val="22"/>
          <w:szCs w:val="22"/>
        </w:rPr>
        <w:t>, de conformidad con lo señalado en la parte motiva del presente acto administrativo, sin perjuicio a que se impongan multas sucesivas hasta tanto se dé cumplimiento total a las órdenes emitidas por esta Dirección en la. Resolución No. 1818 de 11 de septiembre de 2019</w:t>
      </w:r>
      <w:r w:rsidRPr="009E08BC">
        <w:rPr>
          <w:rFonts w:ascii="Arial" w:eastAsia="Arial" w:hAnsi="Arial" w:cs="Arial"/>
          <w:i/>
          <w:iCs/>
          <w:sz w:val="22"/>
          <w:szCs w:val="22"/>
        </w:rPr>
        <w:t>,</w:t>
      </w:r>
      <w:r w:rsidR="0091765B">
        <w:rPr>
          <w:rFonts w:ascii="Arial" w:eastAsia="Arial" w:hAnsi="Arial" w:cs="Arial"/>
          <w:i/>
          <w:iCs/>
          <w:sz w:val="22"/>
          <w:szCs w:val="22"/>
        </w:rPr>
        <w:t xml:space="preserve"> </w:t>
      </w:r>
      <w:r w:rsidRPr="009E08BC">
        <w:rPr>
          <w:rFonts w:ascii="Arial" w:eastAsia="Arial" w:hAnsi="Arial" w:cs="Arial"/>
          <w:i/>
          <w:iCs/>
          <w:sz w:val="22"/>
          <w:szCs w:val="22"/>
        </w:rPr>
        <w:t>“Por la cual se impone una sanción y se imparte una orden</w:t>
      </w:r>
      <w:r w:rsidRPr="009E08BC">
        <w:rPr>
          <w:rFonts w:ascii="Arial" w:eastAsia="Arial" w:hAnsi="Arial" w:cs="Arial"/>
          <w:sz w:val="22"/>
          <w:szCs w:val="22"/>
        </w:rPr>
        <w:t xml:space="preserve">”, según lo dispuesto en el inciso segundo numeral 9 del artículo 2º del Decreto Ley 078 de 1987.    </w:t>
      </w:r>
    </w:p>
    <w:p w14:paraId="5E24C7C4" w14:textId="77777777" w:rsidR="006746E7" w:rsidRPr="009E08BC" w:rsidRDefault="006746E7">
      <w:pPr>
        <w:jc w:val="both"/>
        <w:rPr>
          <w:rFonts w:ascii="Arial" w:eastAsia="Arial" w:hAnsi="Arial" w:cs="Arial"/>
          <w:sz w:val="22"/>
          <w:szCs w:val="22"/>
        </w:rPr>
      </w:pPr>
    </w:p>
    <w:p w14:paraId="44108577" w14:textId="77777777" w:rsidR="006746E7" w:rsidRPr="009E08BC" w:rsidRDefault="00B23247">
      <w:pPr>
        <w:jc w:val="both"/>
        <w:rPr>
          <w:rFonts w:ascii="Arial" w:eastAsia="Arial" w:hAnsi="Arial" w:cs="Arial"/>
          <w:sz w:val="22"/>
          <w:szCs w:val="22"/>
          <w:lang w:val="es-CO"/>
        </w:rPr>
      </w:pPr>
      <w:r w:rsidRPr="009E08BC">
        <w:rPr>
          <w:rFonts w:ascii="Arial" w:eastAsia="Arial" w:hAnsi="Arial" w:cs="Arial"/>
          <w:b/>
          <w:bCs/>
          <w:sz w:val="22"/>
          <w:szCs w:val="22"/>
          <w:lang w:val="es-CO"/>
        </w:rPr>
        <w:t>ARTÍCULO</w:t>
      </w:r>
      <w:r w:rsidRPr="009E08BC">
        <w:rPr>
          <w:rFonts w:ascii="Arial" w:eastAsia="Arial" w:hAnsi="Arial" w:cs="Arial"/>
          <w:sz w:val="22"/>
          <w:szCs w:val="22"/>
          <w:lang w:val="es-CO"/>
        </w:rPr>
        <w:t xml:space="preserve"> </w:t>
      </w:r>
      <w:r w:rsidRPr="009E08BC">
        <w:rPr>
          <w:rFonts w:ascii="Arial" w:eastAsia="Arial" w:hAnsi="Arial" w:cs="Arial"/>
          <w:b/>
          <w:bCs/>
          <w:sz w:val="22"/>
          <w:szCs w:val="22"/>
          <w:lang w:val="es-CO"/>
        </w:rPr>
        <w:t xml:space="preserve">SEGUNDO: </w:t>
      </w:r>
      <w:r w:rsidRPr="009E08BC">
        <w:rPr>
          <w:rFonts w:ascii="Arial" w:eastAsia="Arial" w:hAnsi="Arial" w:cs="Arial"/>
          <w:sz w:val="22"/>
          <w:szCs w:val="22"/>
          <w:lang w:val="es-CO"/>
        </w:rPr>
        <w:t>El pago de la multa impuesta deberá ser cancelada a partir de la ejecutoria de la presente Resolución, trámite para lo cual se requiere solicitar “</w:t>
      </w:r>
      <w:r w:rsidRPr="009E08BC">
        <w:rPr>
          <w:rFonts w:ascii="Arial" w:eastAsia="Arial" w:hAnsi="Arial" w:cs="Arial"/>
          <w:i/>
          <w:iCs/>
          <w:sz w:val="22"/>
          <w:szCs w:val="22"/>
          <w:lang w:val="es-CO"/>
        </w:rPr>
        <w:t>Formato de Conceptos Varios”</w:t>
      </w:r>
      <w:r w:rsidRPr="009E08BC">
        <w:rPr>
          <w:rFonts w:ascii="Arial" w:eastAsia="Arial" w:hAnsi="Arial" w:cs="Arial"/>
          <w:sz w:val="22"/>
          <w:szCs w:val="22"/>
          <w:lang w:val="es-CO"/>
        </w:rPr>
        <w:t xml:space="preserve"> al correo electrónico </w:t>
      </w:r>
      <w:hyperlink r:id="rId8" w:history="1">
        <w:r w:rsidRPr="009E08BC">
          <w:rPr>
            <w:rStyle w:val="Hipervnculo"/>
            <w:rFonts w:ascii="Arial" w:eastAsia="Arial" w:hAnsi="Arial" w:cs="Arial"/>
            <w:color w:val="auto"/>
            <w:sz w:val="22"/>
            <w:szCs w:val="22"/>
            <w:lang w:val="es-CO"/>
          </w:rPr>
          <w:t>cobropersuasivo@habitatbogota.gov.co</w:t>
        </w:r>
      </w:hyperlink>
      <w:r w:rsidRPr="009E08BC">
        <w:rPr>
          <w:rFonts w:ascii="Arial" w:eastAsia="Arial" w:hAnsi="Arial" w:cs="Arial"/>
          <w:sz w:val="22"/>
          <w:szCs w:val="22"/>
          <w:lang w:val="es-CO"/>
        </w:rPr>
        <w:t xml:space="preserve">, documento con el que podrá realizar el pago en efectivo o cheque de Gerencia nombre de la Dirección Distrital de Tesorería, en cualquier sucursal del Banco de Occidente. Una vez efectuado el pago deberá radicar en nuestra área de correspondencia ubicada en la Carrera 13 52-25 Piso 1 o en el correo electrónico </w:t>
      </w:r>
      <w:hyperlink r:id="rId9" w:history="1">
        <w:r w:rsidRPr="009E08BC">
          <w:rPr>
            <w:rStyle w:val="Hipervnculo"/>
            <w:rFonts w:ascii="Arial" w:eastAsia="Arial" w:hAnsi="Arial" w:cs="Arial"/>
            <w:color w:val="auto"/>
            <w:sz w:val="22"/>
            <w:szCs w:val="22"/>
            <w:lang w:val="es-CO"/>
          </w:rPr>
          <w:t>ventanilladecorrespondencia@habitatbogota.gov.co</w:t>
        </w:r>
      </w:hyperlink>
      <w:r w:rsidRPr="009E08BC">
        <w:rPr>
          <w:rFonts w:ascii="Arial" w:eastAsia="Arial" w:hAnsi="Arial" w:cs="Arial"/>
          <w:sz w:val="22"/>
          <w:szCs w:val="22"/>
          <w:lang w:val="es-CO"/>
        </w:rPr>
        <w:t>, una fotocopia del recibo de pago, acompañada de un oficio remisorio.  </w:t>
      </w:r>
    </w:p>
    <w:p w14:paraId="48DD0936" w14:textId="77777777" w:rsidR="006746E7" w:rsidRPr="009E08BC" w:rsidRDefault="006746E7">
      <w:pPr>
        <w:jc w:val="both"/>
        <w:rPr>
          <w:rFonts w:ascii="Arial" w:eastAsia="Arial" w:hAnsi="Arial" w:cs="Arial"/>
          <w:sz w:val="22"/>
          <w:szCs w:val="22"/>
          <w:lang w:val="es-CO"/>
        </w:rPr>
      </w:pPr>
    </w:p>
    <w:p w14:paraId="62B7346E" w14:textId="77777777" w:rsidR="006746E7" w:rsidRPr="009E08BC" w:rsidRDefault="00B23247">
      <w:pPr>
        <w:jc w:val="both"/>
        <w:rPr>
          <w:rFonts w:ascii="Arial" w:eastAsia="Arial" w:hAnsi="Arial" w:cs="Arial"/>
          <w:sz w:val="22"/>
          <w:szCs w:val="22"/>
          <w:lang w:val="es-CO"/>
        </w:rPr>
      </w:pPr>
      <w:r w:rsidRPr="009E08BC">
        <w:rPr>
          <w:rFonts w:ascii="Arial" w:eastAsia="Arial" w:hAnsi="Arial" w:cs="Arial"/>
          <w:b/>
          <w:bCs/>
          <w:sz w:val="22"/>
          <w:szCs w:val="22"/>
          <w:lang w:val="es-CO"/>
        </w:rPr>
        <w:t>ARTÍCULO TERCERO: </w:t>
      </w:r>
      <w:r w:rsidRPr="009E08BC">
        <w:rPr>
          <w:rFonts w:ascii="Arial" w:eastAsia="Arial" w:hAnsi="Arial" w:cs="Arial"/>
          <w:sz w:val="22"/>
          <w:szCs w:val="22"/>
          <w:lang w:val="es-CO"/>
        </w:rPr>
        <w:t>La presente Resolución presta mérito ejecutivo y causa intereses moratorios del 12% anual, desde su ejecutoria y hasta el momento en que se realice el pago, según lo establece el Decreto 289 de 2021 articulo 27 inc. 8. De no efectuarse el pago de la multa impuesta dentro del término señalado, éste se hará efectivo por jurisdicción coactiva a través de la Subdirección de Cobro no Tributario de la Secretaría Distrital de Hacienda, con las consecuencias jurídicas y financieras que de ello se derivan.</w:t>
      </w:r>
    </w:p>
    <w:p w14:paraId="29635BAB" w14:textId="77777777" w:rsidR="006746E7" w:rsidRPr="009E08BC" w:rsidRDefault="006746E7">
      <w:pPr>
        <w:jc w:val="both"/>
        <w:rPr>
          <w:rFonts w:ascii="Arial" w:eastAsia="Arial" w:hAnsi="Arial" w:cs="Arial"/>
          <w:sz w:val="22"/>
          <w:szCs w:val="22"/>
        </w:rPr>
      </w:pPr>
    </w:p>
    <w:p w14:paraId="63C084B0" w14:textId="77777777" w:rsidR="006746E7" w:rsidRPr="009E08BC" w:rsidRDefault="00B23247">
      <w:pPr>
        <w:pBdr>
          <w:top w:val="nil"/>
          <w:left w:val="nil"/>
          <w:bottom w:val="nil"/>
          <w:right w:val="nil"/>
          <w:between w:val="nil"/>
        </w:pBdr>
        <w:jc w:val="both"/>
        <w:rPr>
          <w:rFonts w:ascii="Arial" w:eastAsia="Arial" w:hAnsi="Arial" w:cs="Arial"/>
          <w:sz w:val="22"/>
          <w:szCs w:val="22"/>
        </w:rPr>
      </w:pPr>
      <w:r w:rsidRPr="009E08BC">
        <w:rPr>
          <w:rFonts w:ascii="Arial" w:eastAsia="Arial" w:hAnsi="Arial" w:cs="Arial"/>
          <w:b/>
          <w:bCs/>
          <w:sz w:val="22"/>
          <w:szCs w:val="22"/>
        </w:rPr>
        <w:t>ARTÍCULO CUARTO:</w:t>
      </w:r>
      <w:r w:rsidRPr="009E08BC">
        <w:rPr>
          <w:rFonts w:ascii="Arial" w:eastAsia="Arial" w:hAnsi="Arial" w:cs="Arial"/>
          <w:sz w:val="22"/>
          <w:szCs w:val="22"/>
        </w:rPr>
        <w:t> Notificar el contenido de la presente Resolución al representante legal y/o al apoderado de la sociedad enajenadora HECHO CONCRETO S.A.S, identificada con Nit 900.354.896-6, representada legalmente por el señor GABRIEL JAIME OCHOA SAMPEDRO, para lo cual deberá enviarse citación para notificación personal a la dirección física</w:t>
      </w:r>
      <w:r w:rsidRPr="009E08BC">
        <w:rPr>
          <w:rFonts w:ascii="Arial" w:eastAsia="Arial" w:hAnsi="Arial" w:cs="Arial"/>
          <w:b/>
          <w:bCs/>
          <w:sz w:val="22"/>
          <w:szCs w:val="22"/>
        </w:rPr>
        <w:t xml:space="preserve"> Carrera 14 No. 117 - 72 Bogotá</w:t>
      </w:r>
      <w:r w:rsidRPr="009E08BC">
        <w:rPr>
          <w:rFonts w:ascii="Arial" w:eastAsia="Arial" w:hAnsi="Arial" w:cs="Arial"/>
          <w:sz w:val="22"/>
          <w:szCs w:val="22"/>
        </w:rPr>
        <w:t>; o, en su defecto, de conformidad con las normas de notificación previstas en la Ley 1437 de 2011.</w:t>
      </w:r>
    </w:p>
    <w:p w14:paraId="6BAF3E69" w14:textId="77777777" w:rsidR="006746E7" w:rsidRPr="009E08BC" w:rsidRDefault="006746E7">
      <w:pPr>
        <w:pBdr>
          <w:top w:val="nil"/>
          <w:left w:val="nil"/>
          <w:bottom w:val="nil"/>
          <w:right w:val="nil"/>
          <w:between w:val="nil"/>
        </w:pBdr>
        <w:jc w:val="both"/>
        <w:rPr>
          <w:rFonts w:ascii="Arial" w:eastAsia="Arial" w:hAnsi="Arial" w:cs="Arial"/>
          <w:sz w:val="22"/>
          <w:szCs w:val="22"/>
        </w:rPr>
      </w:pPr>
    </w:p>
    <w:p w14:paraId="3CFA2041" w14:textId="1F6C3234" w:rsidR="006746E7" w:rsidRPr="009E08BC" w:rsidRDefault="00B23247">
      <w:pPr>
        <w:jc w:val="both"/>
        <w:rPr>
          <w:rFonts w:ascii="Arial" w:eastAsia="Arial" w:hAnsi="Arial" w:cs="Arial"/>
          <w:sz w:val="22"/>
          <w:szCs w:val="22"/>
        </w:rPr>
      </w:pPr>
      <w:r w:rsidRPr="009E08BC">
        <w:rPr>
          <w:rFonts w:ascii="Arial" w:eastAsia="Arial" w:hAnsi="Arial" w:cs="Arial"/>
          <w:b/>
          <w:bCs/>
          <w:sz w:val="22"/>
          <w:szCs w:val="22"/>
        </w:rPr>
        <w:t xml:space="preserve">ARTÍCULO </w:t>
      </w:r>
      <w:r w:rsidRPr="009E08BC">
        <w:rPr>
          <w:rFonts w:ascii="Arial" w:eastAsia="Arial" w:hAnsi="Arial" w:cs="Arial"/>
          <w:b/>
          <w:bCs/>
          <w:sz w:val="22"/>
          <w:szCs w:val="22"/>
          <w:highlight w:val="white"/>
        </w:rPr>
        <w:t>QUINTO</w:t>
      </w:r>
      <w:r w:rsidRPr="009E08BC">
        <w:rPr>
          <w:rFonts w:ascii="Arial" w:eastAsia="Arial" w:hAnsi="Arial" w:cs="Arial"/>
          <w:b/>
          <w:bCs/>
          <w:sz w:val="22"/>
          <w:szCs w:val="22"/>
        </w:rPr>
        <w:t>:</w:t>
      </w:r>
      <w:r w:rsidRPr="009E08BC">
        <w:rPr>
          <w:rFonts w:ascii="Arial" w:eastAsia="Arial" w:hAnsi="Arial" w:cs="Arial"/>
          <w:sz w:val="22"/>
          <w:szCs w:val="22"/>
        </w:rPr>
        <w:t xml:space="preserve"> Notificar el contenido de esta Resolución al propietario </w:t>
      </w:r>
      <w:r w:rsidR="0091765B">
        <w:rPr>
          <w:rFonts w:ascii="Arial" w:eastAsia="Arial" w:hAnsi="Arial" w:cs="Arial"/>
          <w:sz w:val="22"/>
          <w:szCs w:val="22"/>
        </w:rPr>
        <w:t xml:space="preserve">del apartamento 701 </w:t>
      </w:r>
      <w:r w:rsidRPr="009E08BC">
        <w:rPr>
          <w:rFonts w:ascii="Arial" w:eastAsia="Arial" w:hAnsi="Arial" w:cs="Arial"/>
          <w:sz w:val="22"/>
          <w:szCs w:val="22"/>
        </w:rPr>
        <w:t>(o quien haga sus veces)</w:t>
      </w:r>
      <w:r w:rsidR="0091765B">
        <w:rPr>
          <w:rFonts w:ascii="Arial" w:eastAsia="Arial" w:hAnsi="Arial" w:cs="Arial"/>
          <w:sz w:val="22"/>
          <w:szCs w:val="22"/>
        </w:rPr>
        <w:t xml:space="preserve"> </w:t>
      </w:r>
      <w:r w:rsidRPr="009E08BC">
        <w:rPr>
          <w:rFonts w:ascii="Arial" w:eastAsia="Arial" w:hAnsi="Arial" w:cs="Arial"/>
          <w:sz w:val="22"/>
          <w:szCs w:val="22"/>
        </w:rPr>
        <w:t>del proyecto de vivienda EDIFICIO ARTE SÓLIDO 62</w:t>
      </w:r>
      <w:r w:rsidR="0091765B">
        <w:rPr>
          <w:rFonts w:ascii="Arial" w:eastAsia="Arial" w:hAnsi="Arial" w:cs="Arial"/>
          <w:sz w:val="22"/>
          <w:szCs w:val="22"/>
        </w:rPr>
        <w:t xml:space="preserve"> – PROPIEDAD HORIZONTAL</w:t>
      </w:r>
      <w:r w:rsidRPr="009E08BC">
        <w:rPr>
          <w:rFonts w:ascii="Arial" w:eastAsia="Arial" w:hAnsi="Arial" w:cs="Arial"/>
          <w:sz w:val="22"/>
          <w:szCs w:val="22"/>
        </w:rPr>
        <w:t xml:space="preserve">, para lo cual deberá enviarse citación para notificación personal a la </w:t>
      </w:r>
      <w:r w:rsidRPr="009E08BC">
        <w:rPr>
          <w:rFonts w:ascii="Arial" w:eastAsia="Arial" w:hAnsi="Arial" w:cs="Arial"/>
          <w:b/>
          <w:bCs/>
          <w:sz w:val="22"/>
          <w:szCs w:val="22"/>
        </w:rPr>
        <w:t>Carrera 2 No. 62</w:t>
      </w:r>
      <w:r w:rsidR="0091765B">
        <w:rPr>
          <w:rFonts w:ascii="Arial" w:eastAsia="Arial" w:hAnsi="Arial" w:cs="Arial"/>
          <w:b/>
          <w:bCs/>
          <w:sz w:val="22"/>
          <w:szCs w:val="22"/>
        </w:rPr>
        <w:t xml:space="preserve"> </w:t>
      </w:r>
      <w:r w:rsidRPr="009E08BC">
        <w:rPr>
          <w:rFonts w:ascii="Arial" w:eastAsia="Arial" w:hAnsi="Arial" w:cs="Arial"/>
          <w:b/>
          <w:bCs/>
          <w:sz w:val="22"/>
          <w:szCs w:val="22"/>
        </w:rPr>
        <w:t>A - 20</w:t>
      </w:r>
      <w:r w:rsidRPr="009E08BC">
        <w:rPr>
          <w:rFonts w:ascii="Arial" w:eastAsia="Arial" w:hAnsi="Arial" w:cs="Arial"/>
          <w:sz w:val="22"/>
          <w:szCs w:val="22"/>
        </w:rPr>
        <w:t xml:space="preserve"> en Bogotá; o, en su defecto, de conformidad con las normas de notificación previstas en la Ley 1437 de 2011.</w:t>
      </w:r>
    </w:p>
    <w:p w14:paraId="62B43CD8" w14:textId="77777777" w:rsidR="006746E7" w:rsidRDefault="006746E7">
      <w:pPr>
        <w:widowControl w:val="0"/>
        <w:jc w:val="both"/>
        <w:rPr>
          <w:rFonts w:ascii="Arial" w:eastAsia="Arial" w:hAnsi="Arial" w:cs="Arial"/>
          <w:b/>
          <w:bCs/>
          <w:sz w:val="22"/>
          <w:szCs w:val="22"/>
        </w:rPr>
      </w:pPr>
    </w:p>
    <w:p w14:paraId="378F2580" w14:textId="77777777" w:rsidR="006746E7" w:rsidRDefault="00B23247">
      <w:pPr>
        <w:widowControl w:val="0"/>
        <w:jc w:val="both"/>
        <w:rPr>
          <w:rFonts w:ascii="Arial" w:eastAsia="Arial" w:hAnsi="Arial" w:cs="Arial"/>
          <w:sz w:val="22"/>
          <w:szCs w:val="22"/>
        </w:rPr>
      </w:pPr>
      <w:r>
        <w:rPr>
          <w:rFonts w:ascii="Arial" w:eastAsia="Arial" w:hAnsi="Arial" w:cs="Arial"/>
          <w:b/>
          <w:bCs/>
          <w:sz w:val="22"/>
          <w:szCs w:val="22"/>
        </w:rPr>
        <w:t xml:space="preserve">ARTÍCULO SEXTO: </w:t>
      </w:r>
      <w:r>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099E8315" w14:textId="77777777" w:rsidR="006746E7" w:rsidRDefault="006746E7">
      <w:pPr>
        <w:widowControl w:val="0"/>
        <w:jc w:val="both"/>
        <w:rPr>
          <w:rFonts w:ascii="Arial" w:eastAsia="Arial" w:hAnsi="Arial" w:cs="Arial"/>
          <w:sz w:val="22"/>
          <w:szCs w:val="22"/>
        </w:rPr>
      </w:pPr>
    </w:p>
    <w:p w14:paraId="21177F78" w14:textId="77777777" w:rsidR="006746E7" w:rsidRDefault="00B23247">
      <w:pPr>
        <w:jc w:val="both"/>
        <w:rPr>
          <w:rFonts w:ascii="Arial" w:eastAsia="Arial" w:hAnsi="Arial" w:cs="Arial"/>
          <w:sz w:val="22"/>
          <w:szCs w:val="22"/>
        </w:rPr>
      </w:pPr>
      <w:r>
        <w:rPr>
          <w:rFonts w:ascii="Arial" w:eastAsia="Arial" w:hAnsi="Arial" w:cs="Arial"/>
          <w:b/>
          <w:bCs/>
          <w:sz w:val="22"/>
          <w:szCs w:val="22"/>
        </w:rPr>
        <w:t>ARTÍCULO SEPTIMO:</w:t>
      </w:r>
      <w:r>
        <w:rPr>
          <w:rFonts w:ascii="Arial" w:eastAsia="Arial" w:hAnsi="Arial" w:cs="Arial"/>
          <w:sz w:val="22"/>
          <w:szCs w:val="22"/>
        </w:rPr>
        <w:t xml:space="preserve"> La presente Resolución rige a partir de su expedición.</w:t>
      </w:r>
    </w:p>
    <w:p w14:paraId="1D81D2F9" w14:textId="77777777" w:rsidR="006746E7" w:rsidRDefault="006746E7">
      <w:pPr>
        <w:pBdr>
          <w:top w:val="nil"/>
          <w:left w:val="nil"/>
          <w:bottom w:val="nil"/>
          <w:right w:val="nil"/>
          <w:between w:val="nil"/>
        </w:pBdr>
        <w:jc w:val="both"/>
        <w:rPr>
          <w:rFonts w:ascii="Arial" w:eastAsia="Arial" w:hAnsi="Arial" w:cs="Arial"/>
          <w:b/>
          <w:bCs/>
          <w:color w:val="000000"/>
          <w:sz w:val="22"/>
          <w:szCs w:val="22"/>
          <w:highlight w:val="white"/>
        </w:rPr>
      </w:pPr>
    </w:p>
    <w:p w14:paraId="18874CA9" w14:textId="77777777" w:rsidR="006746E7" w:rsidRDefault="00B23247">
      <w:pPr>
        <w:widowControl w:val="0"/>
        <w:jc w:val="center"/>
        <w:rPr>
          <w:rFonts w:ascii="Arial" w:eastAsia="Arial" w:hAnsi="Arial" w:cs="Arial"/>
          <w:b/>
          <w:bCs/>
          <w:sz w:val="22"/>
          <w:szCs w:val="22"/>
          <w:highlight w:val="white"/>
        </w:rPr>
      </w:pPr>
      <w:r>
        <w:rPr>
          <w:rFonts w:ascii="Arial" w:eastAsia="Arial" w:hAnsi="Arial" w:cs="Arial"/>
          <w:b/>
          <w:bCs/>
          <w:sz w:val="22"/>
          <w:szCs w:val="22"/>
          <w:highlight w:val="white"/>
        </w:rPr>
        <w:t>NOTIFÍQUESE Y CÚMPLASE.</w:t>
      </w:r>
    </w:p>
    <w:p w14:paraId="1994BDB3" w14:textId="77777777" w:rsidR="006746E7" w:rsidRDefault="006746E7">
      <w:pPr>
        <w:rPr>
          <w:rFonts w:ascii="Arial" w:eastAsia="Arial" w:hAnsi="Arial" w:cs="Arial"/>
          <w:b/>
          <w:bCs/>
          <w:sz w:val="22"/>
          <w:szCs w:val="22"/>
        </w:rPr>
      </w:pPr>
    </w:p>
    <w:p w14:paraId="7A3E2862" w14:textId="77777777" w:rsidR="006746E7" w:rsidRDefault="006746E7">
      <w:pPr>
        <w:jc w:val="center"/>
        <w:rPr>
          <w:rFonts w:ascii="Arial" w:eastAsia="Arial" w:hAnsi="Arial" w:cs="Arial"/>
          <w:b/>
          <w:bCs/>
          <w:sz w:val="22"/>
          <w:szCs w:val="22"/>
        </w:rPr>
      </w:pPr>
    </w:p>
    <w:p w14:paraId="3DA025D2" w14:textId="77777777" w:rsidR="006746E7" w:rsidRDefault="006746E7">
      <w:pPr>
        <w:jc w:val="center"/>
        <w:rPr>
          <w:rFonts w:ascii="Arial" w:eastAsia="Arial" w:hAnsi="Arial" w:cs="Arial"/>
          <w:b/>
          <w:bCs/>
          <w:sz w:val="22"/>
          <w:szCs w:val="22"/>
        </w:rPr>
      </w:pPr>
    </w:p>
    <w:p w14:paraId="43D7CA9F" w14:textId="77777777" w:rsidR="006746E7" w:rsidRDefault="006746E7">
      <w:pPr>
        <w:rPr>
          <w:rFonts w:ascii="Arial" w:eastAsia="Arial" w:hAnsi="Arial" w:cs="Arial"/>
          <w:b/>
          <w:bCs/>
          <w:sz w:val="22"/>
          <w:szCs w:val="22"/>
        </w:rPr>
      </w:pPr>
    </w:p>
    <w:p w14:paraId="48850DBA" w14:textId="77777777" w:rsidR="006746E7" w:rsidRDefault="00B23247">
      <w:pPr>
        <w:jc w:val="center"/>
        <w:rPr>
          <w:rFonts w:ascii="Arial" w:eastAsia="Arial" w:hAnsi="Arial" w:cs="Arial"/>
          <w:b/>
          <w:bCs/>
          <w:sz w:val="22"/>
          <w:szCs w:val="22"/>
        </w:rPr>
      </w:pPr>
      <w:r>
        <w:rPr>
          <w:rFonts w:ascii="Arial" w:eastAsia="Arial" w:hAnsi="Arial" w:cs="Arial"/>
          <w:b/>
          <w:bCs/>
          <w:sz w:val="22"/>
          <w:szCs w:val="22"/>
        </w:rPr>
        <w:t>JAZMÍN ROCÍO OROZCO RODRÍGUEZ</w:t>
      </w:r>
    </w:p>
    <w:p w14:paraId="336C7BDA" w14:textId="77777777" w:rsidR="006746E7" w:rsidRDefault="00B23247">
      <w:pPr>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63D82785" w14:textId="77777777" w:rsidR="006746E7" w:rsidRDefault="006746E7">
      <w:pPr>
        <w:rPr>
          <w:rFonts w:ascii="Arial" w:eastAsia="Arial" w:hAnsi="Arial" w:cs="Arial"/>
          <w:sz w:val="22"/>
          <w:szCs w:val="22"/>
        </w:rPr>
      </w:pPr>
    </w:p>
    <w:p w14:paraId="76710489" w14:textId="77777777" w:rsidR="006746E7" w:rsidRDefault="00B23247">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Proyectó: Daniel Santiago Cristiano González- Abogado Contratista – DICV</w:t>
      </w:r>
    </w:p>
    <w:p w14:paraId="68C7F933" w14:textId="77777777" w:rsidR="006746E7" w:rsidRDefault="00B23247">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 xml:space="preserve">Revisó: Mauricio Hernández Beltrán – Abogado Contratista – DICV. </w:t>
      </w:r>
    </w:p>
    <w:p w14:paraId="5A34B235" w14:textId="77777777" w:rsidR="00624077" w:rsidRDefault="00624077">
      <w:pPr>
        <w:pBdr>
          <w:top w:val="nil"/>
          <w:left w:val="nil"/>
          <w:bottom w:val="nil"/>
          <w:right w:val="nil"/>
          <w:between w:val="nil"/>
        </w:pBdr>
        <w:rPr>
          <w:rFonts w:ascii="Arial" w:eastAsia="Arial" w:hAnsi="Arial" w:cs="Arial"/>
          <w:i/>
          <w:iCs/>
          <w:color w:val="000000"/>
          <w:sz w:val="16"/>
          <w:szCs w:val="16"/>
        </w:rPr>
      </w:pPr>
    </w:p>
    <w:p w14:paraId="140AC30B" w14:textId="77777777" w:rsidR="00624077" w:rsidRDefault="00624077">
      <w:pPr>
        <w:pBdr>
          <w:top w:val="nil"/>
          <w:left w:val="nil"/>
          <w:bottom w:val="nil"/>
          <w:right w:val="nil"/>
          <w:between w:val="nil"/>
        </w:pBdr>
        <w:rPr>
          <w:rFonts w:ascii="Arial" w:eastAsia="Arial" w:hAnsi="Arial" w:cs="Arial"/>
          <w:i/>
          <w:iCs/>
          <w:color w:val="000000"/>
          <w:sz w:val="16"/>
          <w:szCs w:val="16"/>
        </w:rPr>
      </w:pPr>
    </w:p>
    <w:sectPr w:rsidR="00624077">
      <w:headerReference w:type="default" r:id="rId10"/>
      <w:footerReference w:type="default" r:id="rId11"/>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CACCB1" w14:textId="77777777" w:rsidR="008D72D6" w:rsidRDefault="008D72D6">
      <w:r>
        <w:separator/>
      </w:r>
    </w:p>
  </w:endnote>
  <w:endnote w:type="continuationSeparator" w:id="0">
    <w:p w14:paraId="7743331D" w14:textId="77777777" w:rsidR="008D72D6" w:rsidRDefault="008D72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altName w:val="Calibri"/>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embedRegular r:id="rId1" w:fontKey="{ED2231CD-D1DB-44D4-A5A5-652A59C52FC6}"/>
  </w:font>
  <w:font w:name="Aptos">
    <w:charset w:val="00"/>
    <w:family w:val="swiss"/>
    <w:pitch w:val="variable"/>
    <w:sig w:usb0="20000287" w:usb1="00000003" w:usb2="00000000" w:usb3="00000000" w:csb0="0000019F" w:csb1="00000000"/>
    <w:embedRegular r:id="rId2" w:fontKey="{08804E23-1EAA-4F08-9594-57F6DDF4B801}"/>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831761D8-26A0-497E-BC54-5E25551FB149}"/>
    <w:embedBold r:id="rId4" w:fontKey="{24293DFB-186E-41D5-A4E8-923988097055}"/>
  </w:font>
  <w:font w:name="Cambria">
    <w:panose1 w:val="02040503050406030204"/>
    <w:charset w:val="00"/>
    <w:family w:val="roman"/>
    <w:pitch w:val="variable"/>
    <w:sig w:usb0="E00006FF" w:usb1="420024FF" w:usb2="02000000" w:usb3="00000000" w:csb0="0000019F" w:csb1="00000000"/>
    <w:embedRegular r:id="rId5" w:fontKey="{4F93FE62-E7EF-4C74-948E-8985CDA663F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C53809" w14:textId="77777777" w:rsidR="006746E7" w:rsidRDefault="00B23247">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3" behindDoc="0" locked="0" layoutInCell="1" allowOverlap="1" wp14:anchorId="6A60683E" wp14:editId="0F8C0B16">
          <wp:simplePos x="0" y="0"/>
          <wp:positionH relativeFrom="column">
            <wp:posOffset>2239010</wp:posOffset>
          </wp:positionH>
          <wp:positionV relativeFrom="paragraph">
            <wp:posOffset>74295</wp:posOffset>
          </wp:positionV>
          <wp:extent cx="2133600" cy="861695"/>
          <wp:effectExtent l="0" t="0" r="0" b="0"/>
          <wp:wrapSquare wrapText="bothSides"/>
          <wp:docPr id="4098" name="image2.png" descr="Imagen que contiene Texto&#10;&#10;El contenido generado por IA puede ser incorrec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2.png"/>
                  <pic:cNvPicPr/>
                </pic:nvPicPr>
                <pic:blipFill>
                  <a:blip r:embed="rId1" cstate="print"/>
                  <a:srcRect/>
                  <a:stretch/>
                </pic:blipFill>
                <pic:spPr>
                  <a:xfrm>
                    <a:off x="0" y="0"/>
                    <a:ext cx="2133600" cy="861695"/>
                  </a:xfrm>
                  <a:prstGeom prst="rect">
                    <a:avLst/>
                  </a:prstGeom>
                  <a:ln w="9525" cap="flat" cmpd="sng">
                    <a:solidFill>
                      <a:srgbClr val="000000"/>
                    </a:solidFill>
                    <a:prstDash val="solid"/>
                    <a:round/>
                    <a:headEnd/>
                    <a:tailEnd/>
                  </a:ln>
                </pic:spPr>
              </pic:pic>
            </a:graphicData>
          </a:graphic>
        </wp:anchor>
      </w:drawing>
    </w:r>
  </w:p>
  <w:p w14:paraId="6D036365" w14:textId="77777777" w:rsidR="006746E7" w:rsidRDefault="00B23247">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Pr>
        <w:b/>
        <w:bCs/>
        <w:noProof/>
        <w:color w:val="000000"/>
      </w:rPr>
      <w:t>2</w:t>
    </w:r>
    <w:r>
      <w:rPr>
        <w:b/>
        <w:bCs/>
        <w:color w:val="000000"/>
      </w:rPr>
      <w:fldChar w:fldCharType="end"/>
    </w:r>
  </w:p>
  <w:p w14:paraId="36090763" w14:textId="77777777" w:rsidR="006746E7" w:rsidRDefault="00B23247">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136D37CF" w14:textId="77777777" w:rsidR="006746E7" w:rsidRDefault="00B23247">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4" behindDoc="0" locked="0" layoutInCell="1" allowOverlap="1" wp14:anchorId="0A920870" wp14:editId="1F5A6211">
              <wp:simplePos x="0" y="0"/>
              <wp:positionH relativeFrom="column">
                <wp:posOffset>5199063</wp:posOffset>
              </wp:positionH>
              <wp:positionV relativeFrom="paragraph">
                <wp:posOffset>96838</wp:posOffset>
              </wp:positionV>
              <wp:extent cx="1050923" cy="708659"/>
              <wp:effectExtent l="0" t="0" r="0" b="0"/>
              <wp:wrapSquare wrapText="bothSides"/>
              <wp:docPr id="4099" name="Rectángulo 17257875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0923" cy="708659"/>
                      </a:xfrm>
                      <a:prstGeom prst="rect">
                        <a:avLst/>
                      </a:prstGeom>
                      <a:solidFill>
                        <a:srgbClr val="FFFFFF"/>
                      </a:solidFill>
                      <a:ln w="9525" cap="flat" cmpd="sng">
                        <a:solidFill>
                          <a:srgbClr val="FFFFFF"/>
                        </a:solidFill>
                        <a:prstDash val="solid"/>
                        <a:miter/>
                        <a:headEnd type="none" w="sm" len="sm"/>
                        <a:tailEnd type="none" w="sm" len="sm"/>
                      </a:ln>
                    </wps:spPr>
                    <wps:txbx>
                      <w:txbxContent>
                        <w:p w14:paraId="18F63683" w14:textId="77777777" w:rsidR="006746E7" w:rsidRDefault="00B23247">
                          <w:pPr>
                            <w:jc w:val="center"/>
                            <w:textDirection w:val="btLr"/>
                          </w:pPr>
                          <w:r>
                            <w:rPr>
                              <w:rFonts w:ascii="Arial" w:eastAsia="Arial" w:hAnsi="Arial" w:cs="Arial"/>
                              <w:color w:val="000000"/>
                              <w:sz w:val="14"/>
                            </w:rPr>
                            <w:t>PG02-PL03 V2</w:t>
                          </w:r>
                        </w:p>
                      </w:txbxContent>
                    </wps:txbx>
                    <wps:bodyPr wrap="square" lIns="91425" tIns="45700" rIns="91425" bIns="45700" anchor="t">
                      <a:prstTxWarp prst="textNoShape">
                        <a:avLst/>
                      </a:prstTxWarp>
                      <a:noAutofit/>
                    </wps:bodyPr>
                  </wps:wsp>
                </a:graphicData>
              </a:graphic>
            </wp:anchor>
          </w:drawing>
        </mc:Choice>
        <mc:Fallback>
          <w:pict>
            <v:rect w14:anchorId="0A920870" id="Rectángulo 1725787584" o:spid="_x0000_s1026" style="position:absolute;margin-left:409.4pt;margin-top:7.65pt;width:82.75pt;height:55.8pt;z-index: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" strokecolor="white">
              <v:stroke startarrowwidth="narrow" startarrowlength="short" endarrowwidth="narrow" endarrowlength="short"/>
              <v:path arrowok="t"/>
              <v:textbox inset="2.53958mm,1.2694mm,2.53958mm,1.2694mm">
                <w:txbxContent>
                  <w:p w14:paraId="18F63683" w14:textId="77777777" w:rsidR="006746E7" w:rsidRDefault="00B23247">
                    <w:pPr>
                      <w:jc w:val="center"/>
                      <w:textDirection w:val="btLr"/>
                    </w:pPr>
                    <w:r>
                      <w:rPr>
                        <w:rFonts w:ascii="Arial" w:eastAsia="Arial" w:hAnsi="Arial" w:cs="Arial"/>
                        <w:color w:val="000000"/>
                        <w:sz w:val="14"/>
                      </w:rPr>
                      <w:t>PG02-PL03 V2</w:t>
                    </w:r>
                  </w:p>
                </w:txbxContent>
              </v:textbox>
              <w10:wrap type="square"/>
            </v:rect>
          </w:pict>
        </mc:Fallback>
      </mc:AlternateContent>
    </w:r>
  </w:p>
  <w:p w14:paraId="6002C7AE" w14:textId="77777777" w:rsidR="006746E7" w:rsidRDefault="00B23247">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65B342FD" w14:textId="77777777" w:rsidR="006746E7" w:rsidRPr="00B10A0D" w:rsidRDefault="00B23247">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B10A0D">
      <w:rPr>
        <w:rFonts w:ascii="Arial" w:eastAsia="Arial" w:hAnsi="Arial" w:cs="Arial"/>
        <w:color w:val="000000"/>
        <w:sz w:val="16"/>
        <w:szCs w:val="16"/>
        <w:lang w:val="pt-PT"/>
      </w:rPr>
      <w:t xml:space="preserve">Código Postal: 110231 </w:t>
    </w:r>
  </w:p>
  <w:p w14:paraId="291DC984" w14:textId="77777777" w:rsidR="006746E7" w:rsidRPr="00B10A0D" w:rsidRDefault="00B23247">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history="1">
      <w:r w:rsidRPr="00B10A0D">
        <w:rPr>
          <w:rFonts w:ascii="Arial" w:eastAsia="Arial" w:hAnsi="Arial" w:cs="Arial"/>
          <w:color w:val="0000FF"/>
          <w:sz w:val="16"/>
          <w:szCs w:val="16"/>
          <w:u w:val="single"/>
          <w:lang w:val="pt-PT"/>
        </w:rPr>
        <w:t>www.habitatbogota.gov.co</w:t>
      </w:r>
    </w:hyperlink>
    <w:r w:rsidRPr="00B10A0D">
      <w:rPr>
        <w:rFonts w:ascii="Arial" w:eastAsia="Arial" w:hAnsi="Arial" w:cs="Arial"/>
        <w:color w:val="000000"/>
        <w:sz w:val="16"/>
        <w:szCs w:val="16"/>
        <w:lang w:val="pt-PT"/>
      </w:rPr>
      <w:t xml:space="preserve">                 </w:t>
    </w:r>
  </w:p>
  <w:p w14:paraId="76C88C1D" w14:textId="77777777" w:rsidR="006746E7" w:rsidRPr="00B10A0D" w:rsidRDefault="006746E7">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A5C225" w14:textId="77777777" w:rsidR="008D72D6" w:rsidRDefault="008D72D6">
      <w:r>
        <w:separator/>
      </w:r>
    </w:p>
  </w:footnote>
  <w:footnote w:type="continuationSeparator" w:id="0">
    <w:p w14:paraId="5548D1A3" w14:textId="77777777" w:rsidR="008D72D6" w:rsidRDefault="008D72D6">
      <w:r>
        <w:continuationSeparator/>
      </w:r>
    </w:p>
  </w:footnote>
  <w:footnote w:id="1">
    <w:p w14:paraId="6970F48C" w14:textId="77777777" w:rsidR="006746E7" w:rsidRDefault="00B23247">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000000"/>
          <w:sz w:val="16"/>
          <w:szCs w:val="16"/>
          <w:highlight w:val="white"/>
        </w:rPr>
        <w:t>el Consejo de Estado - Sala de lo Contencioso Administrativo - Sección Primera, al evaluar la legalidad de la Directiva 001 del 11 de octubre de 2004 expedida por el entonces Subdirector de Control de Vivienda del Departamento Técnico Administrativo del Medio Ambiente de Bogotá D.C. (DAMA), se pronunció indicando que la actualización dineraria de las multas impuestas por este Despacho son totalmente ajustadas a Derecho, para una mayor ilustración se procede a transcribir unos apartes del fallo contenido en el expediente No. 2006-00986-01 del treinta (30) de mayo de dos mil trece (2013)</w:t>
      </w:r>
    </w:p>
  </w:footnote>
  <w:footnote w:id="2">
    <w:p w14:paraId="2D629EEA" w14:textId="77777777" w:rsidR="006746E7" w:rsidRDefault="00B23247">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Consejo de Estado de Colombia, Sección Tercera, Subsección C,</w:t>
      </w:r>
      <w:r>
        <w:rPr>
          <w:rFonts w:ascii="Arial" w:eastAsia="Arial" w:hAnsi="Arial" w:cs="Arial"/>
          <w:b/>
          <w:bCs/>
          <w:color w:val="000000"/>
          <w:sz w:val="16"/>
          <w:szCs w:val="16"/>
        </w:rPr>
        <w:t xml:space="preserve"> </w:t>
      </w:r>
      <w:r>
        <w:rPr>
          <w:rFonts w:ascii="Arial" w:eastAsia="Arial" w:hAnsi="Arial" w:cs="Arial"/>
          <w:color w:val="000000"/>
          <w:sz w:val="16"/>
          <w:szCs w:val="16"/>
        </w:rPr>
        <w:t xml:space="preserve">05001-23-24-000-1996-00680-01(20738), C.P, Gil Botero, Enrique. </w:t>
      </w:r>
    </w:p>
    <w:p w14:paraId="3B773ABE" w14:textId="77777777" w:rsidR="006746E7" w:rsidRDefault="00B23247">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5B290" w14:textId="77777777" w:rsidR="006746E7" w:rsidRDefault="006746E7">
    <w:pPr>
      <w:rPr>
        <w:b/>
        <w:bCs/>
        <w:sz w:val="22"/>
        <w:szCs w:val="22"/>
      </w:rPr>
    </w:pPr>
    <w:bookmarkStart w:id="5" w:name="_heading=h.g0ck6mntm1z9" w:colFirst="0" w:colLast="0"/>
    <w:bookmarkEnd w:id="5"/>
  </w:p>
  <w:p w14:paraId="755FFFA6" w14:textId="77777777" w:rsidR="006746E7" w:rsidRDefault="006746E7">
    <w:pPr>
      <w:rPr>
        <w:b/>
        <w:bCs/>
        <w:sz w:val="22"/>
        <w:szCs w:val="22"/>
      </w:rPr>
    </w:pPr>
  </w:p>
  <w:p w14:paraId="7EDF6C21" w14:textId="77777777" w:rsidR="006746E7" w:rsidRDefault="006746E7">
    <w:pPr>
      <w:rPr>
        <w:b/>
        <w:bCs/>
        <w:sz w:val="22"/>
        <w:szCs w:val="22"/>
      </w:rPr>
    </w:pPr>
  </w:p>
  <w:p w14:paraId="5C442340" w14:textId="77777777" w:rsidR="006746E7" w:rsidRDefault="00B23247">
    <w:pPr>
      <w:jc w:val="center"/>
      <w:rPr>
        <w:rFonts w:ascii="Arial" w:eastAsia="Arial" w:hAnsi="Arial" w:cs="Arial"/>
        <w:b/>
        <w:bCs/>
        <w:sz w:val="22"/>
        <w:szCs w:val="22"/>
      </w:rPr>
    </w:pPr>
    <w:r>
      <w:rPr>
        <w:rFonts w:ascii="Arial" w:eastAsia="Arial" w:hAnsi="Arial" w:cs="Arial"/>
        <w:b/>
        <w:bCs/>
        <w:sz w:val="22"/>
        <w:szCs w:val="22"/>
      </w:rPr>
      <w:t>RESOLUCIÓN No. DEL ____DE ____ DE 2026</w:t>
    </w:r>
  </w:p>
  <w:p w14:paraId="3D09326E" w14:textId="77777777" w:rsidR="006746E7" w:rsidRDefault="00B23247">
    <w:pPr>
      <w:jc w:val="center"/>
      <w:rPr>
        <w:rFonts w:ascii="Arial" w:eastAsia="Arial" w:hAnsi="Arial" w:cs="Arial"/>
        <w:sz w:val="22"/>
        <w:szCs w:val="22"/>
      </w:rPr>
    </w:pPr>
    <w:r>
      <w:rPr>
        <w:rFonts w:ascii="Arial" w:eastAsia="Arial" w:hAnsi="Arial" w:cs="Arial"/>
        <w:sz w:val="22"/>
        <w:szCs w:val="22"/>
      </w:rPr>
      <w:t>“Por la cual se impone una multa por incumplimiento a una orden”</w:t>
    </w:r>
  </w:p>
  <w:p w14:paraId="24E07A2F" w14:textId="77777777" w:rsidR="006746E7" w:rsidRDefault="00B23247">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 behindDoc="0" locked="0" layoutInCell="1" allowOverlap="1" wp14:anchorId="51988D61" wp14:editId="6474A810">
          <wp:simplePos x="0" y="0"/>
          <wp:positionH relativeFrom="margin">
            <wp:align>center</wp:align>
          </wp:positionH>
          <wp:positionV relativeFrom="page">
            <wp:posOffset>277495</wp:posOffset>
          </wp:positionV>
          <wp:extent cx="1333500" cy="469900"/>
          <wp:effectExtent l="0" t="0" r="0" b="0"/>
          <wp:wrapSquare wrapText="bothSides"/>
          <wp:docPr id="4097" name="image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1.png"/>
                  <pic:cNvPicPr/>
                </pic:nvPicPr>
                <pic:blipFill>
                  <a:blip r:embed="rId1" cstate="print"/>
                  <a:srcRect/>
                  <a:stretch/>
                </pic:blipFill>
                <pic:spPr>
                  <a:xfrm>
                    <a:off x="0" y="0"/>
                    <a:ext cx="1333500" cy="469900"/>
                  </a:xfrm>
                  <a:prstGeom prst="rect">
                    <a:avLst/>
                  </a:prstGeom>
                  <a:ln w="9525" cap="flat" cmpd="sng">
                    <a:solidFill>
                      <a:srgbClr val="000000"/>
                    </a:solidFill>
                    <a:prstDash val="solid"/>
                    <a:round/>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2909C3"/>
    <w:multiLevelType w:val="hybridMultilevel"/>
    <w:tmpl w:val="B7B65CDE"/>
    <w:lvl w:ilvl="0" w:tplc="192ADC72">
      <w:start w:val="1"/>
      <w:numFmt w:val="decimal"/>
      <w:lvlText w:val="%1."/>
      <w:lvlJc w:val="left"/>
      <w:pPr>
        <w:ind w:left="700" w:hanging="360"/>
      </w:pPr>
      <w:rPr>
        <w:rFonts w:hint="default"/>
      </w:rPr>
    </w:lvl>
    <w:lvl w:ilvl="1" w:tplc="240A0019" w:tentative="1">
      <w:start w:val="1"/>
      <w:numFmt w:val="lowerLetter"/>
      <w:lvlText w:val="%2."/>
      <w:lvlJc w:val="left"/>
      <w:pPr>
        <w:ind w:left="1420" w:hanging="360"/>
      </w:pPr>
    </w:lvl>
    <w:lvl w:ilvl="2" w:tplc="240A001B" w:tentative="1">
      <w:start w:val="1"/>
      <w:numFmt w:val="lowerRoman"/>
      <w:lvlText w:val="%3."/>
      <w:lvlJc w:val="right"/>
      <w:pPr>
        <w:ind w:left="2140" w:hanging="180"/>
      </w:pPr>
    </w:lvl>
    <w:lvl w:ilvl="3" w:tplc="240A000F" w:tentative="1">
      <w:start w:val="1"/>
      <w:numFmt w:val="decimal"/>
      <w:lvlText w:val="%4."/>
      <w:lvlJc w:val="left"/>
      <w:pPr>
        <w:ind w:left="2860" w:hanging="360"/>
      </w:pPr>
    </w:lvl>
    <w:lvl w:ilvl="4" w:tplc="240A0019" w:tentative="1">
      <w:start w:val="1"/>
      <w:numFmt w:val="lowerLetter"/>
      <w:lvlText w:val="%5."/>
      <w:lvlJc w:val="left"/>
      <w:pPr>
        <w:ind w:left="3580" w:hanging="360"/>
      </w:pPr>
    </w:lvl>
    <w:lvl w:ilvl="5" w:tplc="240A001B" w:tentative="1">
      <w:start w:val="1"/>
      <w:numFmt w:val="lowerRoman"/>
      <w:lvlText w:val="%6."/>
      <w:lvlJc w:val="right"/>
      <w:pPr>
        <w:ind w:left="4300" w:hanging="180"/>
      </w:pPr>
    </w:lvl>
    <w:lvl w:ilvl="6" w:tplc="240A000F" w:tentative="1">
      <w:start w:val="1"/>
      <w:numFmt w:val="decimal"/>
      <w:lvlText w:val="%7."/>
      <w:lvlJc w:val="left"/>
      <w:pPr>
        <w:ind w:left="5020" w:hanging="360"/>
      </w:pPr>
    </w:lvl>
    <w:lvl w:ilvl="7" w:tplc="240A0019" w:tentative="1">
      <w:start w:val="1"/>
      <w:numFmt w:val="lowerLetter"/>
      <w:lvlText w:val="%8."/>
      <w:lvlJc w:val="left"/>
      <w:pPr>
        <w:ind w:left="5740" w:hanging="360"/>
      </w:pPr>
    </w:lvl>
    <w:lvl w:ilvl="8" w:tplc="240A001B" w:tentative="1">
      <w:start w:val="1"/>
      <w:numFmt w:val="lowerRoman"/>
      <w:lvlText w:val="%9."/>
      <w:lvlJc w:val="right"/>
      <w:pPr>
        <w:ind w:left="6460" w:hanging="180"/>
      </w:pPr>
    </w:lvl>
  </w:abstractNum>
  <w:num w:numId="1" w16cid:durableId="16962273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46E7"/>
    <w:rsid w:val="00013EBE"/>
    <w:rsid w:val="000964C9"/>
    <w:rsid w:val="001A4F89"/>
    <w:rsid w:val="001B0EB9"/>
    <w:rsid w:val="001D1805"/>
    <w:rsid w:val="003745B8"/>
    <w:rsid w:val="003A269B"/>
    <w:rsid w:val="004109C7"/>
    <w:rsid w:val="00561CA2"/>
    <w:rsid w:val="005A4AD6"/>
    <w:rsid w:val="00624077"/>
    <w:rsid w:val="006746E7"/>
    <w:rsid w:val="00703C5D"/>
    <w:rsid w:val="00765B07"/>
    <w:rsid w:val="008002C0"/>
    <w:rsid w:val="00803A09"/>
    <w:rsid w:val="008241DF"/>
    <w:rsid w:val="00871BA2"/>
    <w:rsid w:val="008A1AA2"/>
    <w:rsid w:val="008C6032"/>
    <w:rsid w:val="008D72D6"/>
    <w:rsid w:val="009072BA"/>
    <w:rsid w:val="0091765B"/>
    <w:rsid w:val="00960CD4"/>
    <w:rsid w:val="009B039E"/>
    <w:rsid w:val="009B51F2"/>
    <w:rsid w:val="009E08BC"/>
    <w:rsid w:val="00A94BDA"/>
    <w:rsid w:val="00B10A0D"/>
    <w:rsid w:val="00B23247"/>
    <w:rsid w:val="00B60CCD"/>
    <w:rsid w:val="00B9372E"/>
    <w:rsid w:val="00C5014A"/>
    <w:rsid w:val="00C7412B"/>
    <w:rsid w:val="00CC6644"/>
    <w:rsid w:val="00D43921"/>
    <w:rsid w:val="00D82889"/>
    <w:rsid w:val="00DD7F4E"/>
    <w:rsid w:val="00E8227B"/>
    <w:rsid w:val="00F707DA"/>
    <w:rsid w:val="00FA0BBA"/>
    <w:rsid w:val="00FD5030"/>
    <w:rsid w:val="00FE009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FDCFE0"/>
  <w15:docId w15:val="{143359EC-77EA-C14C-B819-D1A02AB9D7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qFormat/>
    <w:pPr>
      <w:keepNext/>
      <w:keepLines/>
      <w:spacing w:before="40"/>
      <w:outlineLvl w:val="6"/>
    </w:pPr>
    <w:rPr>
      <w:rFonts w:eastAsia="SimSun" w:cs="SimSun"/>
      <w:color w:val="595959"/>
    </w:rPr>
  </w:style>
  <w:style w:type="paragraph" w:styleId="Ttulo8">
    <w:name w:val="heading 8"/>
    <w:basedOn w:val="Normal"/>
    <w:next w:val="Normal"/>
    <w:link w:val="Ttulo8Car"/>
    <w:uiPriority w:val="9"/>
    <w:qFormat/>
    <w:pPr>
      <w:keepNext/>
      <w:keepLines/>
      <w:outlineLvl w:val="7"/>
    </w:pPr>
    <w:rPr>
      <w:rFonts w:eastAsia="SimSun" w:cs="SimSun"/>
      <w:i/>
      <w:iCs/>
      <w:color w:val="272727"/>
    </w:rPr>
  </w:style>
  <w:style w:type="paragraph" w:styleId="Ttulo9">
    <w:name w:val="heading 9"/>
    <w:basedOn w:val="Normal"/>
    <w:next w:val="Normal"/>
    <w:link w:val="Ttulo9Car"/>
    <w:uiPriority w:val="9"/>
    <w:qFormat/>
    <w:pPr>
      <w:keepNext/>
      <w:keepLines/>
      <w:outlineLvl w:val="8"/>
    </w:pPr>
    <w:rPr>
      <w:rFonts w:eastAsia="SimSun" w:cs="SimSun"/>
      <w:color w:val="272727"/>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character" w:customStyle="1" w:styleId="Ttulo1Car">
    <w:name w:val="Título 1 Car"/>
    <w:basedOn w:val="Fuentedeprrafopredeter"/>
    <w:rPr>
      <w:rFonts w:ascii="Aptos Display" w:eastAsia="SimSun" w:hAnsi="Aptos Display" w:cs="SimSun"/>
      <w:color w:val="0F4761"/>
      <w:sz w:val="40"/>
      <w:szCs w:val="40"/>
    </w:rPr>
  </w:style>
  <w:style w:type="character" w:customStyle="1" w:styleId="Ttulo2Car">
    <w:name w:val="Título 2 Car"/>
    <w:basedOn w:val="Fuentedeprrafopredeter"/>
    <w:uiPriority w:val="9"/>
    <w:rPr>
      <w:rFonts w:ascii="Aptos Display" w:eastAsia="SimSun" w:hAnsi="Aptos Display" w:cs="SimSun"/>
      <w:color w:val="0F4761"/>
      <w:sz w:val="32"/>
      <w:szCs w:val="32"/>
    </w:rPr>
  </w:style>
  <w:style w:type="character" w:customStyle="1" w:styleId="Ttulo3Car">
    <w:name w:val="Título 3 Car"/>
    <w:basedOn w:val="Fuentedeprrafopredeter"/>
    <w:uiPriority w:val="9"/>
    <w:rPr>
      <w:rFonts w:eastAsia="SimSun" w:cs="SimSun"/>
      <w:color w:val="0F4761"/>
      <w:sz w:val="28"/>
      <w:szCs w:val="28"/>
    </w:rPr>
  </w:style>
  <w:style w:type="character" w:customStyle="1" w:styleId="Ttulo4Car">
    <w:name w:val="Título 4 Car"/>
    <w:basedOn w:val="Fuentedeprrafopredeter"/>
    <w:uiPriority w:val="9"/>
    <w:rPr>
      <w:rFonts w:eastAsia="SimSun" w:cs="SimSun"/>
      <w:i/>
      <w:iCs/>
      <w:color w:val="0F4761"/>
    </w:rPr>
  </w:style>
  <w:style w:type="character" w:customStyle="1" w:styleId="Ttulo5Car">
    <w:name w:val="Título 5 Car"/>
    <w:basedOn w:val="Fuentedeprrafopredeter"/>
    <w:uiPriority w:val="9"/>
    <w:rPr>
      <w:rFonts w:eastAsia="SimSun" w:cs="SimSun"/>
      <w:color w:val="0F4761"/>
    </w:rPr>
  </w:style>
  <w:style w:type="character" w:customStyle="1" w:styleId="Ttulo6Car">
    <w:name w:val="Título 6 Car"/>
    <w:basedOn w:val="Fuentedeprrafopredeter"/>
    <w:uiPriority w:val="9"/>
    <w:rPr>
      <w:rFonts w:eastAsia="SimSun" w:cs="SimSun"/>
      <w:i/>
      <w:iCs/>
      <w:color w:val="595959"/>
    </w:rPr>
  </w:style>
  <w:style w:type="character" w:customStyle="1" w:styleId="Ttulo7Car">
    <w:name w:val="Título 7 Car"/>
    <w:basedOn w:val="Fuentedeprrafopredeter"/>
    <w:link w:val="Ttulo7"/>
    <w:uiPriority w:val="9"/>
    <w:rPr>
      <w:rFonts w:eastAsia="SimSun" w:cs="SimSun"/>
      <w:color w:val="595959"/>
    </w:rPr>
  </w:style>
  <w:style w:type="character" w:customStyle="1" w:styleId="Ttulo8Car">
    <w:name w:val="Título 8 Car"/>
    <w:basedOn w:val="Fuentedeprrafopredeter"/>
    <w:link w:val="Ttulo8"/>
    <w:uiPriority w:val="9"/>
    <w:rPr>
      <w:rFonts w:eastAsia="SimSun" w:cs="SimSun"/>
      <w:i/>
      <w:iCs/>
      <w:color w:val="272727"/>
    </w:rPr>
  </w:style>
  <w:style w:type="character" w:customStyle="1" w:styleId="Ttulo9Car">
    <w:name w:val="Título 9 Car"/>
    <w:basedOn w:val="Fuentedeprrafopredeter"/>
    <w:link w:val="Ttulo9"/>
    <w:uiPriority w:val="9"/>
    <w:rPr>
      <w:rFonts w:eastAsia="SimSun" w:cs="SimSun"/>
      <w:color w:val="272727"/>
    </w:rPr>
  </w:style>
  <w:style w:type="character" w:customStyle="1" w:styleId="TtuloCar">
    <w:name w:val="Título Car"/>
    <w:basedOn w:val="Fuentedeprrafopredeter"/>
    <w:uiPriority w:val="10"/>
    <w:rPr>
      <w:rFonts w:ascii="Aptos Display" w:eastAsia="SimSun" w:hAnsi="Aptos Display" w:cs="SimSun"/>
      <w:spacing w:val="-10"/>
      <w:kern w:val="28"/>
      <w:sz w:val="56"/>
      <w:szCs w:val="56"/>
    </w:rPr>
  </w:style>
  <w:style w:type="character" w:customStyle="1" w:styleId="SubttuloCar">
    <w:name w:val="Subtítulo Car"/>
    <w:basedOn w:val="Fuentedeprrafopredeter"/>
    <w:uiPriority w:val="11"/>
    <w:rPr>
      <w:rFonts w:eastAsia="SimSun" w:cs="SimSun"/>
      <w:color w:val="595959"/>
      <w:spacing w:val="15"/>
      <w:sz w:val="28"/>
      <w:szCs w:val="28"/>
    </w:rPr>
  </w:style>
  <w:style w:type="paragraph" w:styleId="Cita">
    <w:name w:val="Quote"/>
    <w:basedOn w:val="Normal"/>
    <w:next w:val="Normal"/>
    <w:link w:val="CitaCar"/>
    <w:uiPriority w:val="29"/>
    <w:qFormat/>
    <w:pPr>
      <w:spacing w:before="160"/>
      <w:jc w:val="center"/>
    </w:pPr>
    <w:rPr>
      <w:i/>
      <w:iCs/>
      <w:color w:val="404040"/>
    </w:rPr>
  </w:style>
  <w:style w:type="character" w:customStyle="1" w:styleId="CitaCar">
    <w:name w:val="Cita Car"/>
    <w:basedOn w:val="Fuentedeprrafopredeter"/>
    <w:link w:val="Cita"/>
    <w:uiPriority w:val="29"/>
    <w:rPr>
      <w:i/>
      <w:iCs/>
      <w:color w:val="404040"/>
    </w:rPr>
  </w:style>
  <w:style w:type="paragraph" w:styleId="Prrafodelista">
    <w:name w:val="List Paragraph"/>
    <w:basedOn w:val="Normal"/>
    <w:link w:val="PrrafodelistaCar"/>
    <w:uiPriority w:val="34"/>
    <w:qFormat/>
    <w:pPr>
      <w:ind w:left="720"/>
      <w:contextualSpacing/>
    </w:pPr>
  </w:style>
  <w:style w:type="character" w:styleId="nfasisintenso">
    <w:name w:val="Intense Emphasis"/>
    <w:basedOn w:val="Fuentedeprrafopredeter"/>
    <w:uiPriority w:val="21"/>
    <w:qFormat/>
    <w:rPr>
      <w:i/>
      <w:iCs/>
      <w:color w:val="0F4761"/>
    </w:rPr>
  </w:style>
  <w:style w:type="paragraph" w:styleId="Citadestacada">
    <w:name w:val="Intense Quote"/>
    <w:basedOn w:val="Normal"/>
    <w:next w:val="Normal"/>
    <w:link w:val="CitadestacadaCar"/>
    <w:uiPriority w:val="30"/>
    <w:qFormat/>
    <w:pPr>
      <w:pBdr>
        <w:top w:val="single" w:sz="4" w:space="10" w:color="0F4761"/>
        <w:bottom w:val="single" w:sz="4" w:space="10" w:color="0F4761"/>
      </w:pBdr>
      <w:spacing w:before="360" w:after="360"/>
      <w:ind w:left="864" w:right="864"/>
      <w:jc w:val="center"/>
    </w:pPr>
    <w:rPr>
      <w:i/>
      <w:iCs/>
      <w:color w:val="0F4761"/>
    </w:rPr>
  </w:style>
  <w:style w:type="character" w:customStyle="1" w:styleId="CitadestacadaCar">
    <w:name w:val="Cita destacada Car"/>
    <w:basedOn w:val="Fuentedeprrafopredeter"/>
    <w:link w:val="Citadestacada"/>
    <w:uiPriority w:val="30"/>
    <w:rPr>
      <w:i/>
      <w:iCs/>
      <w:color w:val="0F4761"/>
    </w:rPr>
  </w:style>
  <w:style w:type="character" w:styleId="Referenciaintensa">
    <w:name w:val="Intense Reference"/>
    <w:basedOn w:val="Fuentedeprrafopredeter"/>
    <w:uiPriority w:val="32"/>
    <w:qFormat/>
    <w:rPr>
      <w:b/>
      <w:bCs/>
      <w:smallCaps/>
      <w:color w:val="0F4761"/>
      <w:spacing w:val="5"/>
    </w:rPr>
  </w:style>
  <w:style w:type="paragraph" w:styleId="Encabezado">
    <w:name w:val="header"/>
    <w:basedOn w:val="Normal"/>
    <w:link w:val="EncabezadoCar"/>
    <w:uiPriority w:val="99"/>
    <w:pPr>
      <w:tabs>
        <w:tab w:val="center" w:pos="4419"/>
        <w:tab w:val="right" w:pos="8838"/>
      </w:tabs>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pPr>
      <w:tabs>
        <w:tab w:val="center" w:pos="4419"/>
        <w:tab w:val="right" w:pos="8838"/>
      </w:tabs>
    </w:pPr>
  </w:style>
  <w:style w:type="character" w:customStyle="1" w:styleId="PiedepginaCar">
    <w:name w:val="Pie de página Car"/>
    <w:basedOn w:val="Fuentedeprrafopredeter"/>
    <w:link w:val="Piedepgina"/>
  </w:style>
  <w:style w:type="character" w:styleId="Hipervnculo">
    <w:name w:val="Hyperlink"/>
    <w:basedOn w:val="Fuentedeprrafopredeter"/>
    <w:rPr>
      <w:color w:val="0000FF"/>
      <w:u w:val="single"/>
    </w:rPr>
  </w:style>
  <w:style w:type="character" w:styleId="Nmerodepgina">
    <w:name w:val="page number"/>
    <w:basedOn w:val="Fuentedeprrafopredeter"/>
    <w:uiPriority w:val="99"/>
  </w:style>
  <w:style w:type="paragraph" w:styleId="NormalWeb">
    <w:name w:val="Normal (Web)"/>
    <w:basedOn w:val="Normal"/>
    <w:link w:val="NormalWebCar"/>
    <w:uiPriority w:val="99"/>
    <w:qFormat/>
    <w:pPr>
      <w:spacing w:before="100" w:beforeAutospacing="1" w:after="100" w:afterAutospacing="1"/>
    </w:pPr>
    <w:rPr>
      <w:sz w:val="24"/>
      <w:szCs w:val="24"/>
      <w:lang w:val="es-CO"/>
    </w:rPr>
  </w:style>
  <w:style w:type="paragraph" w:styleId="Textonotapie">
    <w:name w:val="footnote text"/>
    <w:basedOn w:val="Normal"/>
    <w:link w:val="TextonotapieCar"/>
    <w:uiPriority w:val="99"/>
    <w:qFormat/>
  </w:style>
  <w:style w:type="character" w:customStyle="1" w:styleId="TextonotapieCar">
    <w:name w:val="Texto nota pie Car"/>
    <w:basedOn w:val="Fuentedeprrafopredeter"/>
    <w:link w:val="Textonotapie"/>
    <w:uiPriority w:val="99"/>
    <w:qFormat/>
    <w:rPr>
      <w:rFonts w:ascii="Times New Roman" w:eastAsia="Times New Roman" w:hAnsi="Times New Roman" w:cs="Times New Roman"/>
      <w:kern w:val="0"/>
      <w:sz w:val="20"/>
      <w:szCs w:val="20"/>
      <w:lang w:val="es-ES_tradnl" w:eastAsia="es-ES"/>
    </w:rPr>
  </w:style>
  <w:style w:type="character" w:styleId="Refdenotaalpie">
    <w:name w:val="footnote reference"/>
    <w:basedOn w:val="Fuentedeprrafopredeter"/>
    <w:link w:val="Piedepagina"/>
    <w:uiPriority w:val="99"/>
    <w:qFormat/>
    <w:rPr>
      <w:vertAlign w:val="superscript"/>
    </w:rPr>
  </w:style>
  <w:style w:type="paragraph" w:customStyle="1" w:styleId="xmsonormal">
    <w:name w:val="x_msonormal"/>
    <w:basedOn w:val="Normal"/>
    <w:pPr>
      <w:spacing w:before="100" w:beforeAutospacing="1" w:after="100" w:afterAutospacing="1"/>
    </w:pPr>
    <w:rPr>
      <w:sz w:val="24"/>
      <w:szCs w:val="24"/>
      <w:lang w:val="es-CO"/>
    </w:rPr>
  </w:style>
  <w:style w:type="paragraph" w:customStyle="1" w:styleId="paragraph">
    <w:name w:val="paragraph"/>
    <w:basedOn w:val="Normal"/>
    <w:pPr>
      <w:spacing w:before="100" w:beforeAutospacing="1" w:after="100" w:afterAutospacing="1"/>
    </w:pPr>
    <w:rPr>
      <w:sz w:val="24"/>
      <w:szCs w:val="24"/>
      <w:lang w:val="es-CO"/>
    </w:rPr>
  </w:style>
  <w:style w:type="character" w:customStyle="1" w:styleId="normaltextrun">
    <w:name w:val="normaltextrun"/>
    <w:basedOn w:val="Fuentedeprrafopredeter"/>
  </w:style>
  <w:style w:type="paragraph" w:customStyle="1" w:styleId="xxxmsonormal">
    <w:name w:val="x_xxmsonormal"/>
    <w:basedOn w:val="Normal"/>
    <w:pPr>
      <w:spacing w:before="100" w:beforeAutospacing="1" w:after="100" w:afterAutospacing="1"/>
    </w:pPr>
    <w:rPr>
      <w:sz w:val="24"/>
      <w:szCs w:val="24"/>
      <w:lang w:val="es-CO"/>
    </w:rPr>
  </w:style>
  <w:style w:type="character" w:customStyle="1" w:styleId="xcontentpasted0">
    <w:name w:val="x_contentpasted0"/>
    <w:basedOn w:val="Fuentedeprrafopredeter"/>
  </w:style>
  <w:style w:type="paragraph" w:customStyle="1" w:styleId="Piedepagina">
    <w:name w:val="Pie de pagina"/>
    <w:basedOn w:val="Normal"/>
    <w:link w:val="Refdenotaalpie"/>
    <w:uiPriority w:val="99"/>
    <w:pPr>
      <w:spacing w:after="160" w:line="240" w:lineRule="exact"/>
    </w:pPr>
    <w:rPr>
      <w:rFonts w:ascii="Aptos" w:eastAsia="Aptos" w:hAnsi="Aptos" w:cs="SimSun"/>
      <w:kern w:val="2"/>
      <w:sz w:val="24"/>
      <w:szCs w:val="24"/>
      <w:vertAlign w:val="superscript"/>
      <w:lang w:val="es-CO" w:eastAsia="en-US"/>
    </w:rPr>
  </w:style>
  <w:style w:type="character" w:customStyle="1" w:styleId="PrrafodelistaCar">
    <w:name w:val="Párrafo de lista Car"/>
    <w:link w:val="Prrafodelista"/>
    <w:uiPriority w:val="34"/>
    <w:qFormat/>
  </w:style>
  <w:style w:type="character" w:customStyle="1" w:styleId="NormalWebCar">
    <w:name w:val="Normal (Web) Car"/>
    <w:link w:val="NormalWeb"/>
    <w:uiPriority w:val="99"/>
    <w:rPr>
      <w:rFonts w:ascii="Times New Roman" w:eastAsia="Times New Roman" w:hAnsi="Times New Roman" w:cs="Times New Roman"/>
      <w:kern w:val="0"/>
      <w:lang w:eastAsia="es-CO"/>
    </w:rPr>
  </w:style>
  <w:style w:type="character" w:customStyle="1" w:styleId="Mencinsinresolver1">
    <w:name w:val="Mención sin resolver1"/>
    <w:basedOn w:val="Fuentedeprrafopredeter"/>
    <w:uiPriority w:val="99"/>
    <w:rPr>
      <w:color w:val="605E5C"/>
      <w:shd w:val="clear" w:color="auto" w:fill="E1DFDD"/>
    </w:rPr>
  </w:style>
  <w:style w:type="character" w:styleId="Refdecomentario">
    <w:name w:val="annotation reference"/>
    <w:basedOn w:val="Fuentedeprrafopredeter"/>
    <w:uiPriority w:val="99"/>
    <w:rPr>
      <w:sz w:val="16"/>
      <w:szCs w:val="16"/>
    </w:rPr>
  </w:style>
  <w:style w:type="paragraph" w:styleId="Textocomentario">
    <w:name w:val="annotation text"/>
    <w:basedOn w:val="Normal"/>
    <w:link w:val="TextocomentarioCar"/>
    <w:uiPriority w:val="99"/>
  </w:style>
  <w:style w:type="character" w:customStyle="1" w:styleId="TextocomentarioCar">
    <w:name w:val="Texto comentario Car"/>
    <w:basedOn w:val="Fuentedeprrafopredeter"/>
    <w:link w:val="Textocomentario"/>
    <w:uiPriority w:val="99"/>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rPr>
      <w:b/>
      <w:bCs/>
    </w:rPr>
  </w:style>
  <w:style w:type="character" w:customStyle="1" w:styleId="AsuntodelcomentarioCar">
    <w:name w:val="Asunto del comentario Car"/>
    <w:basedOn w:val="TextocomentarioCar"/>
    <w:link w:val="Asuntodelcomentario"/>
    <w:uiPriority w:val="99"/>
    <w:rPr>
      <w:rFonts w:ascii="Times New Roman" w:eastAsia="Times New Roman" w:hAnsi="Times New Roman" w:cs="Times New Roman"/>
      <w:b/>
      <w:bCs/>
      <w:kern w:val="0"/>
      <w:sz w:val="20"/>
      <w:szCs w:val="20"/>
      <w:lang w:val="es-ES_tradnl" w:eastAsia="es-ES"/>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bropersuasivo@habitatbogota.gov.co"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ventanilladecorrespondencia@habitatbogota.gov.co"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GurQfpk7jKlOvlxKqbKiio5L9g==">CgMxLjAyDmguNjN1OXh6bWtxenZzMg5oLnR6aWliOG1qdTk0ODIOaC52bXE1amxzeWxjamgyCWguM3pueXNoNzIJaC4xdDNoNXNmMg5oLmcwY2s2bW50bTF6OTgAciExT3p2eF9qQjNDMW1aSFgydjhpM1lpSTQxQXpvWl9DS1E=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5074</Words>
  <Characters>27912</Characters>
  <Application>Microsoft Office Word</Application>
  <DocSecurity>0</DocSecurity>
  <Lines>232</Lines>
  <Paragraphs>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2026-03-04T21:25:00Z</dcterms:created>
  <dcterms:modified xsi:type="dcterms:W3CDTF">2026-03-04T21:25:00Z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1735b99773314869b348345fe2b89487</vt:lpwstr>
  </property>
</Properties>
</file>